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F5B" w:rsidRPr="00AF26B1" w:rsidRDefault="007A3F5B" w:rsidP="007A3F5B">
      <w:pPr>
        <w:snapToGrid w:val="0"/>
        <w:spacing w:beforeLines="50" w:before="180"/>
        <w:jc w:val="center"/>
        <w:rPr>
          <w:rFonts w:ascii="標楷體" w:eastAsia="標楷體" w:hAnsi="標楷體" w:hint="eastAsia"/>
          <w:b/>
          <w:color w:val="000000"/>
          <w:sz w:val="36"/>
          <w:szCs w:val="36"/>
          <w:bdr w:val="single" w:sz="4" w:space="0" w:color="auto"/>
        </w:rPr>
      </w:pPr>
      <w:r w:rsidRPr="00AF26B1">
        <w:rPr>
          <w:rFonts w:ascii="標楷體" w:eastAsia="標楷體" w:hAnsi="標楷體" w:hint="eastAsia"/>
          <w:b/>
          <w:color w:val="000000"/>
          <w:sz w:val="36"/>
          <w:szCs w:val="36"/>
          <w:bdr w:val="single" w:sz="4" w:space="0" w:color="auto"/>
        </w:rPr>
        <w:t>國立高雄大學金融管理學系 基本素養與核心能力</w:t>
      </w:r>
    </w:p>
    <w:p w:rsidR="007A3F5B" w:rsidRDefault="007A3F5B" w:rsidP="007A3F5B">
      <w:pPr>
        <w:snapToGrid w:val="0"/>
        <w:spacing w:beforeLines="50" w:before="180"/>
        <w:jc w:val="both"/>
        <w:rPr>
          <w:rFonts w:ascii="標楷體" w:eastAsia="標楷體" w:hAnsi="標楷體"/>
          <w:b/>
          <w:color w:val="000000"/>
        </w:rPr>
      </w:pPr>
      <w:r w:rsidRPr="000B3769">
        <w:rPr>
          <w:rFonts w:ascii="標楷體" w:eastAsia="標楷體" w:hAnsi="標楷體" w:hint="eastAsia"/>
          <w:b/>
          <w:color w:val="000000"/>
        </w:rPr>
        <w:t>本</w:t>
      </w:r>
      <w:r w:rsidRPr="000B3769">
        <w:rPr>
          <w:rFonts w:ascii="標楷體" w:eastAsia="標楷體" w:hAnsi="標楷體" w:hint="eastAsia"/>
          <w:b/>
        </w:rPr>
        <w:t>系</w:t>
      </w:r>
      <w:r w:rsidRPr="000B3769">
        <w:rPr>
          <w:rFonts w:ascii="標楷體" w:eastAsia="標楷體" w:hAnsi="標楷體" w:hint="eastAsia"/>
          <w:b/>
          <w:color w:val="000000"/>
        </w:rPr>
        <w:t>學生所具備之基本素養與核心能力，經校訓「博學、弘毅、崇德、創新」演繹訂定如下：</w:t>
      </w:r>
    </w:p>
    <w:p w:rsidR="007A3F5B" w:rsidRDefault="007A3F5B" w:rsidP="007A3F5B">
      <w:pPr>
        <w:spacing w:afterLines="50" w:after="180" w:line="460" w:lineRule="exact"/>
        <w:ind w:leftChars="150" w:left="821" w:hangingChars="192" w:hanging="461"/>
        <w:jc w:val="both"/>
        <w:rPr>
          <w:rFonts w:eastAsia="標楷體"/>
          <w:b/>
          <w:color w:val="000000"/>
        </w:rPr>
      </w:pPr>
      <w:r>
        <w:rPr>
          <w:rFonts w:eastAsia="標楷體" w:hint="eastAsia"/>
          <w:b/>
          <w:color w:val="000000"/>
        </w:rPr>
        <w:t>一、基本素養：</w:t>
      </w:r>
      <w:r>
        <w:rPr>
          <w:rFonts w:eastAsia="標楷體"/>
          <w:b/>
          <w:color w:val="000000"/>
        </w:rPr>
        <w:t xml:space="preserve"> 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 xml:space="preserve">) </w:t>
      </w:r>
      <w:r>
        <w:rPr>
          <w:rFonts w:ascii="標楷體" w:eastAsia="標楷體" w:hAnsi="標楷體" w:hint="eastAsia"/>
          <w:color w:val="000000"/>
        </w:rPr>
        <w:t>廣博進取。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二</w:t>
      </w:r>
      <w:r>
        <w:rPr>
          <w:rFonts w:ascii="標楷體" w:eastAsia="標楷體" w:hAnsi="標楷體"/>
          <w:color w:val="000000"/>
        </w:rPr>
        <w:t xml:space="preserve">) </w:t>
      </w:r>
      <w:r>
        <w:rPr>
          <w:rFonts w:ascii="標楷體" w:eastAsia="標楷體" w:hAnsi="標楷體" w:hint="eastAsia"/>
          <w:color w:val="000000"/>
        </w:rPr>
        <w:t>誠信正直。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三</w:t>
      </w:r>
      <w:r>
        <w:rPr>
          <w:rFonts w:ascii="標楷體" w:eastAsia="標楷體" w:hAnsi="標楷體"/>
          <w:color w:val="000000"/>
        </w:rPr>
        <w:t xml:space="preserve">) </w:t>
      </w:r>
      <w:r>
        <w:rPr>
          <w:rFonts w:ascii="標楷體" w:eastAsia="標楷體" w:hAnsi="標楷體" w:hint="eastAsia"/>
          <w:color w:val="000000"/>
        </w:rPr>
        <w:t>仁愛良善。</w:t>
      </w:r>
    </w:p>
    <w:p w:rsidR="007A3F5B" w:rsidRDefault="007A3F5B" w:rsidP="007A3F5B">
      <w:pPr>
        <w:spacing w:afterLines="50" w:after="180" w:line="460" w:lineRule="exact"/>
        <w:ind w:firstLineChars="250" w:firstLine="600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/>
        </w:rPr>
        <w:t>（四）多元思考，發展創意</w:t>
      </w:r>
      <w:r>
        <w:rPr>
          <w:rFonts w:eastAsia="標楷體" w:hint="eastAsia"/>
          <w:color w:val="000000"/>
          <w:kern w:val="0"/>
        </w:rPr>
        <w:t>。</w:t>
      </w:r>
    </w:p>
    <w:p w:rsidR="007A3F5B" w:rsidRDefault="007A3F5B" w:rsidP="007A3F5B">
      <w:pPr>
        <w:spacing w:afterLines="50" w:after="180" w:line="460" w:lineRule="exact"/>
        <w:ind w:leftChars="150" w:left="821" w:hangingChars="192" w:hanging="461"/>
        <w:jc w:val="both"/>
        <w:rPr>
          <w:rFonts w:eastAsia="標楷體"/>
          <w:b/>
          <w:color w:val="000000"/>
        </w:rPr>
      </w:pPr>
      <w:r>
        <w:rPr>
          <w:rFonts w:eastAsia="標楷體" w:hint="eastAsia"/>
          <w:b/>
          <w:color w:val="000000"/>
        </w:rPr>
        <w:t>二、核心能力：</w:t>
      </w:r>
      <w:r>
        <w:rPr>
          <w:rFonts w:eastAsia="標楷體"/>
          <w:b/>
          <w:color w:val="000000"/>
        </w:rPr>
        <w:t xml:space="preserve"> </w:t>
      </w:r>
    </w:p>
    <w:p w:rsidR="007A3F5B" w:rsidRDefault="007A3F5B" w:rsidP="007A3F5B">
      <w:pPr>
        <w:spacing w:afterLines="50" w:after="180" w:line="460" w:lineRule="exact"/>
        <w:ind w:firstLineChars="321" w:firstLine="77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proofErr w:type="gramStart"/>
      <w:r>
        <w:rPr>
          <w:rFonts w:eastAsia="標楷體" w:hint="eastAsia"/>
          <w:color w:val="000000"/>
        </w:rPr>
        <w:t>一</w:t>
      </w:r>
      <w:proofErr w:type="gramEnd"/>
      <w:r>
        <w:rPr>
          <w:rFonts w:eastAsia="標楷體"/>
          <w:color w:val="000000"/>
        </w:rPr>
        <w:t xml:space="preserve">) </w:t>
      </w:r>
      <w:r>
        <w:rPr>
          <w:rFonts w:eastAsia="標楷體" w:hint="eastAsia"/>
          <w:color w:val="000000"/>
        </w:rPr>
        <w:t>數理邏輯與經濟分析的能力。</w:t>
      </w:r>
    </w:p>
    <w:p w:rsidR="007A3F5B" w:rsidRDefault="007A3F5B" w:rsidP="007A3F5B">
      <w:pPr>
        <w:spacing w:afterLines="50" w:after="180" w:line="460" w:lineRule="exact"/>
        <w:ind w:firstLineChars="321" w:firstLine="77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 w:hint="eastAsia"/>
          <w:color w:val="000000"/>
        </w:rPr>
        <w:t>二</w:t>
      </w:r>
      <w:r>
        <w:rPr>
          <w:rFonts w:eastAsia="標楷體"/>
          <w:color w:val="000000"/>
        </w:rPr>
        <w:t xml:space="preserve">) </w:t>
      </w:r>
      <w:r>
        <w:rPr>
          <w:rFonts w:eastAsia="標楷體" w:hint="eastAsia"/>
          <w:color w:val="000000"/>
        </w:rPr>
        <w:t>搜集及解讀會計資訊的能力。</w:t>
      </w:r>
    </w:p>
    <w:p w:rsidR="007A3F5B" w:rsidRDefault="007A3F5B" w:rsidP="007A3F5B">
      <w:pPr>
        <w:spacing w:afterLines="50" w:after="180" w:line="460" w:lineRule="exact"/>
        <w:ind w:firstLineChars="321" w:firstLine="77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 w:hint="eastAsia"/>
          <w:color w:val="000000"/>
        </w:rPr>
        <w:t>三</w:t>
      </w:r>
      <w:r>
        <w:rPr>
          <w:rFonts w:eastAsia="標楷體"/>
          <w:color w:val="000000"/>
        </w:rPr>
        <w:t xml:space="preserve">) </w:t>
      </w:r>
      <w:r>
        <w:rPr>
          <w:rFonts w:eastAsia="標楷體" w:hint="eastAsia"/>
          <w:color w:val="000000"/>
        </w:rPr>
        <w:t>個人及企業理財的能力。</w:t>
      </w:r>
    </w:p>
    <w:p w:rsidR="007A3F5B" w:rsidRDefault="007A3F5B" w:rsidP="007A3F5B">
      <w:pPr>
        <w:spacing w:afterLines="50" w:after="180" w:line="460" w:lineRule="exact"/>
        <w:ind w:firstLineChars="321" w:firstLine="77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 w:hint="eastAsia"/>
          <w:color w:val="000000"/>
        </w:rPr>
        <w:t>四</w:t>
      </w:r>
      <w:r>
        <w:rPr>
          <w:rFonts w:eastAsia="標楷體"/>
          <w:color w:val="000000"/>
        </w:rPr>
        <w:t xml:space="preserve">) </w:t>
      </w:r>
      <w:r>
        <w:rPr>
          <w:rFonts w:eastAsia="標楷體" w:hint="eastAsia"/>
          <w:color w:val="000000"/>
        </w:rPr>
        <w:t>投資直接及間接金融市場的能力。</w:t>
      </w:r>
    </w:p>
    <w:p w:rsidR="007A3F5B" w:rsidRDefault="007A3F5B" w:rsidP="007A3F5B">
      <w:pPr>
        <w:spacing w:afterLines="50" w:after="180" w:line="460" w:lineRule="exact"/>
        <w:ind w:firstLineChars="321" w:firstLine="770"/>
        <w:jc w:val="both"/>
        <w:rPr>
          <w:rFonts w:eastAsia="標楷體" w:hAnsi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 w:hint="eastAsia"/>
          <w:color w:val="000000"/>
        </w:rPr>
        <w:t>五</w:t>
      </w:r>
      <w:r>
        <w:rPr>
          <w:rFonts w:eastAsia="標楷體"/>
          <w:color w:val="000000"/>
        </w:rPr>
        <w:t>)</w:t>
      </w:r>
      <w:r>
        <w:rPr>
          <w:rFonts w:eastAsia="標楷體" w:hAnsi="標楷體"/>
          <w:color w:val="000000"/>
        </w:rPr>
        <w:t xml:space="preserve"> </w:t>
      </w:r>
      <w:r>
        <w:rPr>
          <w:rFonts w:eastAsia="標楷體" w:hAnsi="標楷體" w:hint="eastAsia"/>
          <w:color w:val="000000"/>
        </w:rPr>
        <w:t>金融創新及風險控管的能力。</w:t>
      </w:r>
    </w:p>
    <w:p w:rsidR="007A3F5B" w:rsidRDefault="007A3F5B" w:rsidP="007A3F5B">
      <w:pPr>
        <w:spacing w:afterLines="50" w:after="180" w:line="460" w:lineRule="exact"/>
        <w:ind w:firstLineChars="321" w:firstLine="770"/>
        <w:jc w:val="both"/>
        <w:rPr>
          <w:rFonts w:eastAsia="標楷體" w:hAnsi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 w:hint="eastAsia"/>
          <w:color w:val="000000"/>
        </w:rPr>
        <w:t>六</w:t>
      </w:r>
      <w:r>
        <w:rPr>
          <w:rFonts w:eastAsia="標楷體"/>
          <w:color w:val="000000"/>
        </w:rPr>
        <w:t xml:space="preserve">) </w:t>
      </w:r>
      <w:r>
        <w:rPr>
          <w:rFonts w:eastAsia="標楷體" w:hint="eastAsia"/>
          <w:color w:val="000000"/>
        </w:rPr>
        <w:t>金融倫理及服務</w:t>
      </w:r>
      <w:r>
        <w:rPr>
          <w:rFonts w:eastAsia="標楷體" w:hAnsi="標楷體" w:hint="eastAsia"/>
          <w:color w:val="000000"/>
        </w:rPr>
        <w:t>的能力。</w:t>
      </w:r>
    </w:p>
    <w:p w:rsidR="007A3F5B" w:rsidRDefault="007A3F5B" w:rsidP="007A3F5B">
      <w:pPr>
        <w:spacing w:afterLines="50" w:after="180" w:line="460" w:lineRule="exact"/>
        <w:ind w:firstLineChars="321" w:firstLine="77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 w:hint="eastAsia"/>
          <w:color w:val="000000"/>
        </w:rPr>
        <w:t>七</w:t>
      </w:r>
      <w:r>
        <w:rPr>
          <w:rFonts w:eastAsia="標楷體"/>
          <w:color w:val="000000"/>
        </w:rPr>
        <w:t xml:space="preserve">) </w:t>
      </w:r>
      <w:r>
        <w:rPr>
          <w:rFonts w:eastAsia="標楷體" w:hint="eastAsia"/>
          <w:color w:val="000000"/>
        </w:rPr>
        <w:t>國際化資訊應用的</w:t>
      </w:r>
      <w:r>
        <w:rPr>
          <w:rFonts w:eastAsia="標楷體" w:hAnsi="標楷體" w:hint="eastAsia"/>
          <w:color w:val="000000"/>
        </w:rPr>
        <w:t>能力。</w:t>
      </w:r>
    </w:p>
    <w:p w:rsidR="007A3F5B" w:rsidRDefault="007A3F5B" w:rsidP="007A3F5B">
      <w:pPr>
        <w:snapToGrid w:val="0"/>
        <w:spacing w:beforeLines="50" w:before="180"/>
        <w:jc w:val="both"/>
        <w:rPr>
          <w:b/>
          <w:color w:val="000000"/>
        </w:rPr>
      </w:pPr>
    </w:p>
    <w:p w:rsidR="007A3F5B" w:rsidRDefault="007A3F5B" w:rsidP="007A3F5B">
      <w:pPr>
        <w:snapToGrid w:val="0"/>
        <w:spacing w:beforeLines="50" w:before="180"/>
        <w:jc w:val="both"/>
        <w:rPr>
          <w:b/>
          <w:color w:val="000000"/>
        </w:rPr>
      </w:pPr>
    </w:p>
    <w:p w:rsidR="007A3F5B" w:rsidRDefault="007A3F5B" w:rsidP="007A3F5B">
      <w:pPr>
        <w:snapToGrid w:val="0"/>
        <w:spacing w:beforeLines="50" w:before="180"/>
        <w:jc w:val="both"/>
        <w:rPr>
          <w:b/>
          <w:color w:val="000000"/>
        </w:rPr>
      </w:pPr>
    </w:p>
    <w:p w:rsidR="007A3F5B" w:rsidRDefault="007A3F5B" w:rsidP="007A3F5B">
      <w:pPr>
        <w:snapToGrid w:val="0"/>
        <w:spacing w:beforeLines="50" w:before="180"/>
        <w:jc w:val="both"/>
        <w:rPr>
          <w:b/>
          <w:color w:val="000000"/>
        </w:rPr>
      </w:pPr>
    </w:p>
    <w:p w:rsidR="007A3F5B" w:rsidRDefault="007A3F5B" w:rsidP="007A3F5B">
      <w:pPr>
        <w:snapToGrid w:val="0"/>
        <w:spacing w:beforeLines="50" w:before="180"/>
        <w:jc w:val="both"/>
        <w:rPr>
          <w:b/>
          <w:color w:val="000000"/>
        </w:rPr>
      </w:pPr>
    </w:p>
    <w:p w:rsidR="007A3F5B" w:rsidRDefault="007A3F5B" w:rsidP="007A3F5B">
      <w:pPr>
        <w:snapToGrid w:val="0"/>
        <w:spacing w:beforeLines="50" w:before="180"/>
        <w:jc w:val="both"/>
        <w:rPr>
          <w:b/>
          <w:color w:val="000000"/>
        </w:rPr>
      </w:pPr>
    </w:p>
    <w:p w:rsidR="007A3F5B" w:rsidRDefault="007A3F5B" w:rsidP="007A3F5B">
      <w:pPr>
        <w:snapToGrid w:val="0"/>
        <w:spacing w:beforeLines="50" w:before="180"/>
        <w:jc w:val="both"/>
        <w:rPr>
          <w:b/>
          <w:color w:val="000000"/>
        </w:rPr>
      </w:pPr>
    </w:p>
    <w:p w:rsidR="007A3F5B" w:rsidRDefault="007A3F5B" w:rsidP="007A3F5B">
      <w:pPr>
        <w:snapToGrid w:val="0"/>
        <w:spacing w:beforeLines="50" w:before="180"/>
        <w:jc w:val="both"/>
        <w:rPr>
          <w:b/>
          <w:color w:val="000000"/>
        </w:rPr>
      </w:pPr>
    </w:p>
    <w:p w:rsidR="007A3F5B" w:rsidRDefault="007A3F5B" w:rsidP="007A3F5B">
      <w:pPr>
        <w:snapToGrid w:val="0"/>
        <w:spacing w:beforeLines="50" w:before="180"/>
        <w:jc w:val="both"/>
        <w:rPr>
          <w:b/>
          <w:color w:val="000000"/>
        </w:rPr>
      </w:pPr>
    </w:p>
    <w:p w:rsidR="007A3F5B" w:rsidRPr="00D1420F" w:rsidRDefault="007A3F5B" w:rsidP="007A3F5B">
      <w:pPr>
        <w:snapToGrid w:val="0"/>
        <w:spacing w:beforeLines="50" w:before="180"/>
        <w:jc w:val="both"/>
        <w:rPr>
          <w:b/>
          <w:color w:val="000000"/>
        </w:rPr>
      </w:pPr>
      <w:r>
        <w:rPr>
          <w:b/>
          <w:color w:val="000000"/>
        </w:rPr>
        <w:br w:type="page"/>
      </w:r>
      <w:r>
        <w:rPr>
          <w:rFonts w:hint="eastAsia"/>
          <w:b/>
          <w:color w:val="000000"/>
        </w:rPr>
        <w:lastRenderedPageBreak/>
        <w:t>細則</w:t>
      </w:r>
      <w:r>
        <w:rPr>
          <w:b/>
          <w:color w:val="000000"/>
        </w:rPr>
        <w:t>:</w:t>
      </w:r>
    </w:p>
    <w:p w:rsidR="007A3F5B" w:rsidRPr="000B3769" w:rsidRDefault="007A3F5B" w:rsidP="007A3F5B">
      <w:pPr>
        <w:spacing w:afterLines="50" w:after="180" w:line="460" w:lineRule="exact"/>
        <w:jc w:val="both"/>
        <w:rPr>
          <w:rFonts w:eastAsia="標楷體"/>
          <w:b/>
          <w:bCs/>
          <w:color w:val="000000"/>
        </w:rPr>
      </w:pPr>
      <w:r w:rsidRPr="000B3769">
        <w:rPr>
          <w:rFonts w:ascii="標楷體" w:eastAsia="標楷體" w:hAnsi="標楷體" w:hint="eastAsia"/>
          <w:b/>
          <w:color w:val="000000"/>
        </w:rPr>
        <w:t>本</w:t>
      </w:r>
      <w:r w:rsidRPr="000B3769">
        <w:rPr>
          <w:rFonts w:ascii="標楷體" w:eastAsia="標楷體" w:hAnsi="標楷體" w:hint="eastAsia"/>
          <w:b/>
        </w:rPr>
        <w:t>系</w:t>
      </w:r>
      <w:r w:rsidRPr="000B3769">
        <w:rPr>
          <w:rFonts w:ascii="標楷體" w:eastAsia="標楷體" w:hAnsi="標楷體" w:hint="eastAsia"/>
          <w:b/>
          <w:color w:val="000000"/>
        </w:rPr>
        <w:t>學生</w:t>
      </w:r>
      <w:r w:rsidRPr="000B3769">
        <w:rPr>
          <w:rFonts w:eastAsia="標楷體" w:hint="eastAsia"/>
          <w:b/>
          <w:bCs/>
          <w:color w:val="000000"/>
        </w:rPr>
        <w:t>應具備之基本素養與核心能力：</w:t>
      </w:r>
    </w:p>
    <w:p w:rsidR="007A3F5B" w:rsidRDefault="007A3F5B" w:rsidP="007A3F5B">
      <w:pPr>
        <w:spacing w:afterLines="50" w:after="180" w:line="460" w:lineRule="exact"/>
        <w:ind w:leftChars="150" w:left="821" w:hangingChars="192" w:hanging="461"/>
        <w:jc w:val="both"/>
        <w:rPr>
          <w:rFonts w:eastAsia="標楷體"/>
          <w:b/>
          <w:color w:val="000000"/>
        </w:rPr>
      </w:pPr>
      <w:r>
        <w:rPr>
          <w:rFonts w:eastAsia="標楷體" w:hint="eastAsia"/>
          <w:b/>
          <w:color w:val="000000"/>
        </w:rPr>
        <w:t>一、基本素養：</w:t>
      </w:r>
      <w:r>
        <w:rPr>
          <w:rFonts w:eastAsia="標楷體"/>
          <w:b/>
          <w:color w:val="000000"/>
        </w:rPr>
        <w:t xml:space="preserve"> 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 xml:space="preserve">) </w:t>
      </w:r>
      <w:r>
        <w:rPr>
          <w:rFonts w:ascii="標楷體" w:eastAsia="標楷體" w:hAnsi="標楷體" w:hint="eastAsia"/>
          <w:color w:val="000000"/>
        </w:rPr>
        <w:t>廣博進取。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二</w:t>
      </w:r>
      <w:r>
        <w:rPr>
          <w:rFonts w:ascii="標楷體" w:eastAsia="標楷體" w:hAnsi="標楷體"/>
          <w:color w:val="000000"/>
        </w:rPr>
        <w:t xml:space="preserve">) </w:t>
      </w:r>
      <w:r>
        <w:rPr>
          <w:rFonts w:ascii="標楷體" w:eastAsia="標楷體" w:hAnsi="標楷體" w:hint="eastAsia"/>
          <w:color w:val="000000"/>
        </w:rPr>
        <w:t>誠信正直。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三</w:t>
      </w:r>
      <w:r>
        <w:rPr>
          <w:rFonts w:ascii="標楷體" w:eastAsia="標楷體" w:hAnsi="標楷體"/>
          <w:color w:val="000000"/>
        </w:rPr>
        <w:t xml:space="preserve">) </w:t>
      </w:r>
      <w:r>
        <w:rPr>
          <w:rFonts w:ascii="標楷體" w:eastAsia="標楷體" w:hAnsi="標楷體" w:hint="eastAsia"/>
          <w:color w:val="000000"/>
        </w:rPr>
        <w:t>仁愛良善。</w:t>
      </w:r>
    </w:p>
    <w:p w:rsidR="007A3F5B" w:rsidRDefault="007A3F5B" w:rsidP="007A3F5B">
      <w:pPr>
        <w:spacing w:afterLines="50" w:after="180" w:line="460" w:lineRule="exact"/>
        <w:ind w:firstLineChars="250" w:firstLine="600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/>
        </w:rPr>
        <w:t>（四）多元思考，發展創意</w:t>
      </w:r>
      <w:r>
        <w:rPr>
          <w:rFonts w:eastAsia="標楷體" w:hint="eastAsia"/>
          <w:color w:val="000000"/>
          <w:kern w:val="0"/>
        </w:rPr>
        <w:t>。</w:t>
      </w:r>
    </w:p>
    <w:p w:rsidR="007A3F5B" w:rsidRDefault="007A3F5B" w:rsidP="007A3F5B">
      <w:pPr>
        <w:spacing w:afterLines="50" w:after="180" w:line="460" w:lineRule="exact"/>
        <w:ind w:leftChars="150" w:left="821" w:hangingChars="192" w:hanging="461"/>
        <w:jc w:val="both"/>
        <w:rPr>
          <w:rFonts w:eastAsia="標楷體"/>
          <w:b/>
          <w:color w:val="000000"/>
        </w:rPr>
      </w:pPr>
      <w:r>
        <w:rPr>
          <w:rFonts w:eastAsia="標楷體" w:hint="eastAsia"/>
          <w:b/>
          <w:color w:val="000000"/>
        </w:rPr>
        <w:t>二、核心能力：</w:t>
      </w:r>
      <w:r>
        <w:rPr>
          <w:rFonts w:eastAsia="標楷體"/>
          <w:b/>
          <w:color w:val="000000"/>
        </w:rPr>
        <w:t xml:space="preserve"> </w:t>
      </w:r>
    </w:p>
    <w:p w:rsidR="007A3F5B" w:rsidRDefault="007A3F5B" w:rsidP="007A3F5B">
      <w:pPr>
        <w:spacing w:afterLines="50" w:after="180" w:line="460" w:lineRule="exact"/>
        <w:ind w:firstLineChars="321" w:firstLine="77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proofErr w:type="gramStart"/>
      <w:r>
        <w:rPr>
          <w:rFonts w:eastAsia="標楷體" w:hint="eastAsia"/>
          <w:color w:val="000000"/>
        </w:rPr>
        <w:t>一</w:t>
      </w:r>
      <w:proofErr w:type="gramEnd"/>
      <w:r>
        <w:rPr>
          <w:rFonts w:eastAsia="標楷體"/>
          <w:color w:val="000000"/>
        </w:rPr>
        <w:t>)</w:t>
      </w:r>
      <w:r>
        <w:rPr>
          <w:rFonts w:eastAsia="標楷體" w:hint="eastAsia"/>
          <w:color w:val="000000"/>
        </w:rPr>
        <w:t>數理邏輯與經濟分析的能力。</w:t>
      </w:r>
    </w:p>
    <w:p w:rsidR="007A3F5B" w:rsidRDefault="007A3F5B" w:rsidP="007A3F5B">
      <w:pPr>
        <w:spacing w:afterLines="50" w:after="180" w:line="460" w:lineRule="exact"/>
        <w:ind w:leftChars="320" w:left="2086" w:hangingChars="549" w:hanging="1318"/>
        <w:jc w:val="both"/>
        <w:rPr>
          <w:rFonts w:eastAsia="標楷體" w:hint="eastAsia"/>
        </w:rPr>
      </w:pPr>
      <w:r>
        <w:rPr>
          <w:rFonts w:eastAsia="標楷體"/>
          <w:color w:val="000000"/>
        </w:rPr>
        <w:t xml:space="preserve">  </w:t>
      </w:r>
      <w:r w:rsidRPr="001D517F">
        <w:rPr>
          <w:rFonts w:eastAsia="標楷體"/>
        </w:rPr>
        <w:t xml:space="preserve"> </w:t>
      </w:r>
      <w:r w:rsidRPr="001D517F">
        <w:rPr>
          <w:rFonts w:eastAsia="標楷體" w:hint="eastAsia"/>
        </w:rPr>
        <w:t>大學部：透過本系</w:t>
      </w:r>
      <w:r>
        <w:rPr>
          <w:rFonts w:eastAsia="標楷體" w:hint="eastAsia"/>
        </w:rPr>
        <w:t>經濟學原理、微積分、統計學、個體經濟學、總體經濟學、計量經濟學、貨幣銀行學</w:t>
      </w:r>
      <w:r w:rsidRPr="001D517F">
        <w:rPr>
          <w:rFonts w:eastAsia="標楷體" w:hint="eastAsia"/>
        </w:rPr>
        <w:t>等課程培養</w:t>
      </w:r>
      <w:r>
        <w:rPr>
          <w:rFonts w:eastAsia="標楷體" w:hint="eastAsia"/>
        </w:rPr>
        <w:t>數理邏輯與</w:t>
      </w:r>
      <w:r>
        <w:rPr>
          <w:rFonts w:eastAsia="標楷體" w:hint="eastAsia"/>
          <w:color w:val="000000"/>
        </w:rPr>
        <w:t>經濟分析的</w:t>
      </w:r>
      <w:r w:rsidRPr="001D517F">
        <w:rPr>
          <w:rFonts w:eastAsia="標楷體" w:hint="eastAsia"/>
        </w:rPr>
        <w:t>能力。</w:t>
      </w:r>
    </w:p>
    <w:p w:rsidR="007A3F5B" w:rsidRPr="001D517F" w:rsidRDefault="007A3F5B" w:rsidP="007A3F5B">
      <w:pPr>
        <w:spacing w:afterLines="50" w:after="180" w:line="460" w:lineRule="exact"/>
        <w:ind w:leftChars="320" w:left="2086" w:hangingChars="549" w:hanging="1318"/>
        <w:jc w:val="both"/>
        <w:rPr>
          <w:rFonts w:eastAsia="標楷體"/>
        </w:rPr>
      </w:pPr>
      <w:r w:rsidRPr="001D517F">
        <w:rPr>
          <w:rFonts w:eastAsia="標楷體"/>
        </w:rPr>
        <w:t xml:space="preserve">   </w:t>
      </w:r>
      <w:r w:rsidRPr="001D517F">
        <w:rPr>
          <w:rFonts w:eastAsia="標楷體" w:hint="eastAsia"/>
        </w:rPr>
        <w:t>碩士班：透過本系</w:t>
      </w:r>
      <w:r>
        <w:rPr>
          <w:rFonts w:eastAsia="標楷體" w:hint="eastAsia"/>
        </w:rPr>
        <w:t>計量經濟學</w:t>
      </w:r>
      <w:r w:rsidRPr="004D59F6">
        <w:rPr>
          <w:rFonts w:ascii="標楷體" w:eastAsia="標楷體" w:hAnsi="標楷體" w:hint="eastAsia"/>
        </w:rPr>
        <w:t>、財務研究方法</w:t>
      </w:r>
      <w:r w:rsidRPr="001D517F">
        <w:rPr>
          <w:rFonts w:eastAsia="標楷體" w:hint="eastAsia"/>
        </w:rPr>
        <w:t>培養</w:t>
      </w:r>
      <w:r>
        <w:rPr>
          <w:rFonts w:eastAsia="標楷體" w:hint="eastAsia"/>
          <w:color w:val="000000"/>
        </w:rPr>
        <w:t>數理邏輯與經濟分析的</w:t>
      </w:r>
      <w:r w:rsidRPr="001D517F">
        <w:rPr>
          <w:rFonts w:eastAsia="標楷體" w:hint="eastAsia"/>
        </w:rPr>
        <w:t>能力。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 w:hint="eastAsia"/>
          <w:color w:val="000000"/>
        </w:rPr>
        <w:t>二</w:t>
      </w:r>
      <w:r>
        <w:rPr>
          <w:rFonts w:eastAsia="標楷體"/>
          <w:color w:val="000000"/>
        </w:rPr>
        <w:t>)</w:t>
      </w:r>
      <w:r w:rsidRPr="00457598">
        <w:rPr>
          <w:rFonts w:eastAsia="標楷體" w:hint="eastAsia"/>
          <w:color w:val="000000"/>
        </w:rPr>
        <w:t xml:space="preserve"> </w:t>
      </w:r>
      <w:r>
        <w:rPr>
          <w:rFonts w:eastAsia="標楷體" w:hint="eastAsia"/>
          <w:color w:val="000000"/>
        </w:rPr>
        <w:t>搜集及解讀會計資訊的能力。</w:t>
      </w:r>
    </w:p>
    <w:p w:rsidR="007A3F5B" w:rsidRDefault="007A3F5B" w:rsidP="007A3F5B">
      <w:pPr>
        <w:spacing w:afterLines="50" w:after="180" w:line="460" w:lineRule="exact"/>
        <w:ind w:leftChars="500" w:left="2160" w:hangingChars="400" w:hanging="960"/>
        <w:jc w:val="both"/>
        <w:rPr>
          <w:rFonts w:eastAsia="標楷體" w:hint="eastAsia"/>
          <w:color w:val="000000"/>
        </w:rPr>
      </w:pPr>
      <w:r w:rsidRPr="001D517F">
        <w:rPr>
          <w:rFonts w:eastAsia="標楷體" w:hint="eastAsia"/>
        </w:rPr>
        <w:t>大學部：透過本系</w:t>
      </w:r>
      <w:r w:rsidRPr="004D59F6">
        <w:rPr>
          <w:rFonts w:ascii="標楷體" w:eastAsia="標楷體" w:hAnsi="標楷體" w:hint="eastAsia"/>
        </w:rPr>
        <w:t>會計學原理、中級會計學、財務報表分析</w:t>
      </w:r>
      <w:r w:rsidRPr="001D517F">
        <w:rPr>
          <w:rFonts w:eastAsia="標楷體" w:hint="eastAsia"/>
        </w:rPr>
        <w:t>等課程培養</w:t>
      </w:r>
      <w:r>
        <w:rPr>
          <w:rFonts w:eastAsia="標楷體" w:hint="eastAsia"/>
          <w:color w:val="000000"/>
        </w:rPr>
        <w:t>搜集及解讀會計資訊的能力。</w:t>
      </w:r>
    </w:p>
    <w:p w:rsidR="007A3F5B" w:rsidRPr="001D517F" w:rsidRDefault="007A3F5B" w:rsidP="007A3F5B">
      <w:pPr>
        <w:spacing w:afterLines="50" w:after="180" w:line="460" w:lineRule="exact"/>
        <w:ind w:leftChars="500" w:left="2160" w:hangingChars="400" w:hanging="960"/>
        <w:jc w:val="both"/>
        <w:rPr>
          <w:rFonts w:eastAsia="標楷體"/>
        </w:rPr>
      </w:pPr>
      <w:r w:rsidRPr="001D517F">
        <w:rPr>
          <w:rFonts w:eastAsia="標楷體" w:hint="eastAsia"/>
        </w:rPr>
        <w:t>碩士班：透過本系</w:t>
      </w:r>
      <w:r w:rsidRPr="004D59F6">
        <w:rPr>
          <w:rFonts w:ascii="標楷體" w:eastAsia="標楷體" w:hAnsi="標楷體" w:hint="eastAsia"/>
        </w:rPr>
        <w:t>財務報表分析、</w:t>
      </w:r>
      <w:r>
        <w:rPr>
          <w:rFonts w:ascii="標楷體" w:eastAsia="標楷體" w:hAnsi="標楷體" w:hint="eastAsia"/>
        </w:rPr>
        <w:t>會計</w:t>
      </w:r>
      <w:r w:rsidRPr="00E5643B">
        <w:rPr>
          <w:rFonts w:ascii="標楷體" w:eastAsia="標楷體" w:hAnsi="標楷體" w:hint="eastAsia"/>
        </w:rPr>
        <w:t>實證研究</w:t>
      </w:r>
      <w:r w:rsidRPr="001D517F">
        <w:rPr>
          <w:rFonts w:eastAsia="標楷體" w:hint="eastAsia"/>
        </w:rPr>
        <w:t>等課程培養</w:t>
      </w:r>
      <w:r>
        <w:rPr>
          <w:rFonts w:eastAsia="標楷體" w:hint="eastAsia"/>
          <w:color w:val="000000"/>
        </w:rPr>
        <w:t>搜集及解讀會計資訊的能力。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 w:hint="eastAsia"/>
          <w:color w:val="000000"/>
        </w:rPr>
        <w:t>三</w:t>
      </w:r>
      <w:r>
        <w:rPr>
          <w:rFonts w:eastAsia="標楷體"/>
          <w:color w:val="000000"/>
        </w:rPr>
        <w:t xml:space="preserve">) </w:t>
      </w:r>
      <w:r>
        <w:rPr>
          <w:rFonts w:eastAsia="標楷體" w:hint="eastAsia"/>
          <w:color w:val="000000"/>
        </w:rPr>
        <w:t>個人及企業理財的能力。</w:t>
      </w:r>
    </w:p>
    <w:p w:rsidR="007A3F5B" w:rsidRPr="001D517F" w:rsidRDefault="007A3F5B" w:rsidP="007A3F5B">
      <w:pPr>
        <w:spacing w:afterLines="50" w:after="180" w:line="460" w:lineRule="exact"/>
        <w:ind w:leftChars="500" w:left="2160" w:hangingChars="400" w:hanging="960"/>
        <w:jc w:val="both"/>
        <w:rPr>
          <w:rFonts w:eastAsia="標楷體"/>
        </w:rPr>
      </w:pPr>
      <w:r w:rsidRPr="001D517F">
        <w:rPr>
          <w:rFonts w:eastAsia="標楷體" w:hint="eastAsia"/>
        </w:rPr>
        <w:t>大學部：透過本系</w:t>
      </w:r>
      <w:r w:rsidRPr="004D59F6">
        <w:rPr>
          <w:rFonts w:ascii="標楷體" w:eastAsia="標楷體" w:hAnsi="標楷體" w:hint="eastAsia"/>
        </w:rPr>
        <w:t>財務管理、行銷管理、公司治理與內部控制、個人理財</w:t>
      </w:r>
      <w:r>
        <w:rPr>
          <w:rFonts w:ascii="標楷體" w:eastAsia="標楷體" w:hAnsi="標楷體" w:hint="eastAsia"/>
        </w:rPr>
        <w:t>、</w:t>
      </w:r>
      <w:r w:rsidRPr="00E5643B">
        <w:rPr>
          <w:rFonts w:ascii="標楷體" w:eastAsia="標楷體" w:hAnsi="標楷體" w:hint="eastAsia"/>
        </w:rPr>
        <w:t>公司理財專題、財務管理個案研究</w:t>
      </w:r>
      <w:r w:rsidRPr="001D517F">
        <w:rPr>
          <w:rFonts w:eastAsia="標楷體" w:hint="eastAsia"/>
        </w:rPr>
        <w:t>等課程培養</w:t>
      </w:r>
      <w:r>
        <w:rPr>
          <w:rFonts w:eastAsia="標楷體" w:hint="eastAsia"/>
          <w:color w:val="000000"/>
        </w:rPr>
        <w:t>理財的能力。</w:t>
      </w:r>
    </w:p>
    <w:p w:rsidR="007A3F5B" w:rsidRPr="001D517F" w:rsidRDefault="007A3F5B" w:rsidP="007A3F5B">
      <w:pPr>
        <w:spacing w:afterLines="50" w:after="180" w:line="460" w:lineRule="exact"/>
        <w:ind w:leftChars="450" w:left="1080" w:firstLineChars="50" w:firstLine="120"/>
        <w:jc w:val="both"/>
        <w:rPr>
          <w:rFonts w:eastAsia="標楷體"/>
        </w:rPr>
      </w:pPr>
      <w:r w:rsidRPr="001D517F">
        <w:rPr>
          <w:rFonts w:eastAsia="標楷體" w:hint="eastAsia"/>
        </w:rPr>
        <w:t>碩士班：透過本系</w:t>
      </w:r>
      <w:r w:rsidRPr="004D59F6">
        <w:rPr>
          <w:rFonts w:ascii="標楷體" w:eastAsia="標楷體" w:hAnsi="標楷體" w:hint="eastAsia"/>
        </w:rPr>
        <w:t>財務理論、金融機構管理、公司理財</w:t>
      </w:r>
      <w:r>
        <w:rPr>
          <w:rFonts w:ascii="標楷體" w:eastAsia="標楷體" w:hAnsi="標楷體" w:hint="eastAsia"/>
        </w:rPr>
        <w:t>、</w:t>
      </w:r>
      <w:r w:rsidRPr="00E5643B">
        <w:rPr>
          <w:rFonts w:ascii="標楷體" w:eastAsia="標楷體" w:hAnsi="標楷體" w:hint="eastAsia"/>
        </w:rPr>
        <w:t>財務專題</w:t>
      </w:r>
      <w:proofErr w:type="gramStart"/>
      <w:r w:rsidRPr="00E5643B"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/>
        </w:rPr>
        <w:br/>
      </w:r>
      <w:r>
        <w:rPr>
          <w:rFonts w:ascii="標楷體" w:eastAsia="標楷體" w:hAnsi="標楷體"/>
        </w:rPr>
        <w:lastRenderedPageBreak/>
        <w:t xml:space="preserve">         </w:t>
      </w:r>
      <w:r w:rsidRPr="00E5643B">
        <w:rPr>
          <w:rFonts w:ascii="標楷體" w:eastAsia="標楷體" w:hAnsi="標楷體" w:hint="eastAsia"/>
        </w:rPr>
        <w:t>討</w:t>
      </w:r>
      <w:r>
        <w:rPr>
          <w:rFonts w:ascii="標楷體" w:eastAsia="標楷體" w:hAnsi="標楷體" w:hint="eastAsia"/>
        </w:rPr>
        <w:t>、</w:t>
      </w:r>
      <w:r w:rsidRPr="00E5643B">
        <w:rPr>
          <w:rFonts w:ascii="標楷體" w:eastAsia="標楷體" w:hAnsi="標楷體" w:hint="eastAsia"/>
        </w:rPr>
        <w:t>財務實證研究</w:t>
      </w:r>
      <w:r w:rsidRPr="001D517F">
        <w:rPr>
          <w:rFonts w:eastAsia="標楷體" w:hint="eastAsia"/>
        </w:rPr>
        <w:t>等課程培養</w:t>
      </w:r>
      <w:r>
        <w:rPr>
          <w:rFonts w:eastAsia="標楷體" w:hint="eastAsia"/>
          <w:color w:val="000000"/>
        </w:rPr>
        <w:t>理財的能力。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 w:hint="eastAsia"/>
          <w:color w:val="000000"/>
        </w:rPr>
        <w:t>四</w:t>
      </w:r>
      <w:r>
        <w:rPr>
          <w:rFonts w:eastAsia="標楷體"/>
          <w:color w:val="000000"/>
        </w:rPr>
        <w:t xml:space="preserve">) </w:t>
      </w:r>
      <w:r>
        <w:rPr>
          <w:rFonts w:eastAsia="標楷體" w:hint="eastAsia"/>
          <w:color w:val="000000"/>
        </w:rPr>
        <w:t>投資直接與間接金融市場的能力。</w:t>
      </w:r>
    </w:p>
    <w:p w:rsidR="007A3F5B" w:rsidRPr="001D517F" w:rsidRDefault="007A3F5B" w:rsidP="007A3F5B">
      <w:pPr>
        <w:spacing w:afterLines="50" w:after="180" w:line="460" w:lineRule="exact"/>
        <w:ind w:leftChars="500" w:left="2160" w:hangingChars="400" w:hanging="960"/>
        <w:jc w:val="both"/>
        <w:rPr>
          <w:rFonts w:eastAsia="標楷體"/>
        </w:rPr>
      </w:pPr>
      <w:r w:rsidRPr="001D517F">
        <w:rPr>
          <w:rFonts w:eastAsia="標楷體" w:hint="eastAsia"/>
        </w:rPr>
        <w:t>大學部：透過本系</w:t>
      </w:r>
      <w:r w:rsidRPr="004D59F6">
        <w:rPr>
          <w:rFonts w:ascii="標楷體" w:eastAsia="標楷體" w:hAnsi="標楷體" w:hint="eastAsia"/>
        </w:rPr>
        <w:t>投資學、不動產投資管理、金融市場與機構、投資組合管理、固定收益型證券、基金投資與管理、證券投資分析、企業評價</w:t>
      </w:r>
      <w:r>
        <w:rPr>
          <w:rFonts w:ascii="標楷體" w:eastAsia="標楷體" w:hAnsi="標楷體" w:hint="eastAsia"/>
        </w:rPr>
        <w:t>、</w:t>
      </w:r>
      <w:r w:rsidRPr="00E5643B">
        <w:rPr>
          <w:rFonts w:ascii="標楷體" w:eastAsia="標楷體" w:hAnsi="標楷體" w:hint="eastAsia"/>
        </w:rPr>
        <w:t>金融機構專題、行為財務</w:t>
      </w:r>
      <w:r w:rsidRPr="00D76070">
        <w:rPr>
          <w:rFonts w:ascii="標楷體" w:eastAsia="標楷體" w:hAnsi="標楷體" w:hint="eastAsia"/>
        </w:rPr>
        <w:t>、</w:t>
      </w:r>
      <w:r w:rsidRPr="00D76070">
        <w:rPr>
          <w:rFonts w:ascii="標楷體" w:eastAsia="標楷體" w:hAnsi="標楷體" w:hint="eastAsia"/>
          <w:sz w:val="22"/>
          <w:szCs w:val="22"/>
        </w:rPr>
        <w:t>保險學</w:t>
      </w:r>
      <w:r w:rsidRPr="001D517F">
        <w:rPr>
          <w:rFonts w:eastAsia="標楷體" w:hint="eastAsia"/>
        </w:rPr>
        <w:t>等課程培養</w:t>
      </w:r>
      <w:r>
        <w:rPr>
          <w:rFonts w:eastAsia="標楷體" w:hint="eastAsia"/>
          <w:color w:val="000000"/>
        </w:rPr>
        <w:t>投資的能力。</w:t>
      </w:r>
    </w:p>
    <w:p w:rsidR="007A3F5B" w:rsidRPr="001D517F" w:rsidRDefault="007A3F5B" w:rsidP="007A3F5B">
      <w:pPr>
        <w:spacing w:afterLines="50" w:after="180" w:line="460" w:lineRule="exact"/>
        <w:ind w:leftChars="450" w:left="1080" w:firstLineChars="50" w:firstLine="120"/>
        <w:jc w:val="both"/>
        <w:rPr>
          <w:rFonts w:eastAsia="標楷體"/>
        </w:rPr>
      </w:pPr>
      <w:r w:rsidRPr="001D517F">
        <w:rPr>
          <w:rFonts w:eastAsia="標楷體" w:hint="eastAsia"/>
        </w:rPr>
        <w:t>碩士班：透過本系</w:t>
      </w:r>
      <w:r w:rsidRPr="004D59F6">
        <w:rPr>
          <w:rFonts w:ascii="標楷體" w:eastAsia="標楷體" w:hAnsi="標楷體" w:hint="eastAsia"/>
        </w:rPr>
        <w:t>投資學、金融市場、投資組合研究</w:t>
      </w:r>
      <w:r>
        <w:rPr>
          <w:rFonts w:ascii="標楷體" w:eastAsia="標楷體" w:hAnsi="標楷體" w:hint="eastAsia"/>
        </w:rPr>
        <w:t>、</w:t>
      </w:r>
      <w:r w:rsidRPr="00E5643B">
        <w:rPr>
          <w:rFonts w:ascii="標楷體" w:eastAsia="標楷體" w:hAnsi="標楷體" w:hint="eastAsia"/>
        </w:rPr>
        <w:t>不對稱訊息之</w:t>
      </w:r>
      <w:r>
        <w:rPr>
          <w:rFonts w:ascii="標楷體" w:eastAsia="標楷體" w:hAnsi="標楷體"/>
        </w:rPr>
        <w:br/>
        <w:t xml:space="preserve">         </w:t>
      </w:r>
      <w:r w:rsidRPr="00E5643B">
        <w:rPr>
          <w:rFonts w:ascii="標楷體" w:eastAsia="標楷體" w:hAnsi="標楷體" w:hint="eastAsia"/>
        </w:rPr>
        <w:t>金融市場</w:t>
      </w:r>
      <w:r>
        <w:rPr>
          <w:rFonts w:ascii="標楷體" w:eastAsia="標楷體" w:hAnsi="標楷體" w:hint="eastAsia"/>
        </w:rPr>
        <w:t>、</w:t>
      </w:r>
      <w:r w:rsidRPr="00E5643B">
        <w:rPr>
          <w:rFonts w:ascii="標楷體" w:eastAsia="標楷體" w:hAnsi="標楷體" w:hint="eastAsia"/>
        </w:rPr>
        <w:t>行為財務</w:t>
      </w:r>
      <w:r w:rsidRPr="001D517F">
        <w:rPr>
          <w:rFonts w:eastAsia="標楷體" w:hint="eastAsia"/>
        </w:rPr>
        <w:t>等課程培養</w:t>
      </w:r>
      <w:r>
        <w:rPr>
          <w:rFonts w:eastAsia="標楷體" w:hint="eastAsia"/>
          <w:color w:val="000000"/>
        </w:rPr>
        <w:t>投資的能力。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eastAsia="標楷體" w:hAnsi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 w:hint="eastAsia"/>
          <w:color w:val="000000"/>
        </w:rPr>
        <w:t>五</w:t>
      </w:r>
      <w:r>
        <w:rPr>
          <w:rFonts w:eastAsia="標楷體"/>
          <w:color w:val="000000"/>
        </w:rPr>
        <w:t>)</w:t>
      </w:r>
      <w:r>
        <w:rPr>
          <w:rFonts w:eastAsia="標楷體" w:hAnsi="標楷體"/>
          <w:color w:val="000000"/>
        </w:rPr>
        <w:t xml:space="preserve"> </w:t>
      </w:r>
      <w:r>
        <w:rPr>
          <w:rFonts w:eastAsia="標楷體" w:hAnsi="標楷體" w:hint="eastAsia"/>
          <w:color w:val="000000"/>
        </w:rPr>
        <w:t>金融創新及風險控管的能力。</w:t>
      </w:r>
    </w:p>
    <w:p w:rsidR="007A3F5B" w:rsidRPr="004D59F6" w:rsidRDefault="007A3F5B" w:rsidP="007A3F5B">
      <w:pPr>
        <w:spacing w:afterLines="50" w:after="180" w:line="460" w:lineRule="exact"/>
        <w:ind w:leftChars="500" w:left="2160" w:hangingChars="400" w:hanging="960"/>
        <w:jc w:val="both"/>
        <w:rPr>
          <w:rFonts w:ascii="標楷體" w:eastAsia="標楷體" w:hAnsi="標楷體"/>
        </w:rPr>
      </w:pPr>
      <w:r w:rsidRPr="004D59F6">
        <w:rPr>
          <w:rFonts w:ascii="標楷體" w:eastAsia="標楷體" w:hAnsi="標楷體" w:hint="eastAsia"/>
        </w:rPr>
        <w:t>大學部：透過本系期貨與選擇權、新金融商品、金融資產定價、財務工程、複利數學</w:t>
      </w:r>
      <w:r>
        <w:rPr>
          <w:rFonts w:ascii="標楷體" w:eastAsia="標楷體" w:hAnsi="標楷體" w:hint="eastAsia"/>
        </w:rPr>
        <w:t>、</w:t>
      </w:r>
      <w:r w:rsidRPr="00D64000">
        <w:rPr>
          <w:rFonts w:ascii="標楷體" w:eastAsia="標楷體" w:hAnsi="標楷體" w:hint="eastAsia"/>
        </w:rPr>
        <w:t>風險管理專題等</w:t>
      </w:r>
      <w:r w:rsidRPr="004D59F6">
        <w:rPr>
          <w:rFonts w:ascii="標楷體" w:eastAsia="標楷體" w:hAnsi="標楷體" w:hint="eastAsia"/>
        </w:rPr>
        <w:t>課程培養</w:t>
      </w:r>
      <w:r w:rsidRPr="004D59F6">
        <w:rPr>
          <w:rFonts w:ascii="標楷體" w:eastAsia="標楷體" w:hAnsi="標楷體" w:hint="eastAsia"/>
          <w:color w:val="000000"/>
        </w:rPr>
        <w:t>金融創新及風險控管的能力。</w:t>
      </w:r>
    </w:p>
    <w:p w:rsidR="007A3F5B" w:rsidRPr="001D517F" w:rsidRDefault="007A3F5B" w:rsidP="007A3F5B">
      <w:pPr>
        <w:spacing w:afterLines="50" w:after="180" w:line="460" w:lineRule="exact"/>
        <w:ind w:leftChars="450" w:left="1080" w:firstLineChars="50" w:firstLine="120"/>
        <w:jc w:val="both"/>
        <w:rPr>
          <w:rFonts w:eastAsia="標楷體"/>
        </w:rPr>
      </w:pPr>
      <w:r w:rsidRPr="004D59F6">
        <w:rPr>
          <w:rFonts w:ascii="標楷體" w:eastAsia="標楷體" w:hAnsi="標楷體" w:hint="eastAsia"/>
        </w:rPr>
        <w:t>碩士班：透過本系期貨與選擇權、複利數學、財務工程、實質選擇權</w:t>
      </w:r>
      <w:r>
        <w:rPr>
          <w:rFonts w:ascii="標楷體" w:eastAsia="標楷體" w:hAnsi="標楷體"/>
        </w:rPr>
        <w:br/>
        <w:t xml:space="preserve">         </w:t>
      </w:r>
      <w:r w:rsidRPr="004D59F6">
        <w:rPr>
          <w:rFonts w:ascii="標楷體" w:eastAsia="標楷體" w:hAnsi="標楷體" w:hint="eastAsia"/>
        </w:rPr>
        <w:t>等</w:t>
      </w:r>
      <w:r w:rsidRPr="001D517F">
        <w:rPr>
          <w:rFonts w:eastAsia="標楷體" w:hint="eastAsia"/>
        </w:rPr>
        <w:t>課程培養</w:t>
      </w:r>
      <w:r>
        <w:rPr>
          <w:rFonts w:eastAsia="標楷體" w:hAnsi="標楷體" w:hint="eastAsia"/>
          <w:color w:val="000000"/>
        </w:rPr>
        <w:t>金融創新及風險控管的能力。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eastAsia="標楷體" w:hAnsi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 w:hint="eastAsia"/>
          <w:color w:val="000000"/>
        </w:rPr>
        <w:t>六</w:t>
      </w:r>
      <w:r>
        <w:rPr>
          <w:rFonts w:eastAsia="標楷體"/>
          <w:color w:val="000000"/>
        </w:rPr>
        <w:t xml:space="preserve">) </w:t>
      </w:r>
      <w:r>
        <w:rPr>
          <w:rFonts w:eastAsia="標楷體" w:hint="eastAsia"/>
          <w:color w:val="000000"/>
        </w:rPr>
        <w:t>金融倫理與服務</w:t>
      </w:r>
      <w:r>
        <w:rPr>
          <w:rFonts w:eastAsia="標楷體" w:hAnsi="標楷體" w:hint="eastAsia"/>
          <w:color w:val="000000"/>
        </w:rPr>
        <w:t>的能力。</w:t>
      </w:r>
    </w:p>
    <w:p w:rsidR="007A3F5B" w:rsidRPr="004D59F6" w:rsidRDefault="007A3F5B" w:rsidP="007A3F5B">
      <w:pPr>
        <w:spacing w:afterLines="50" w:after="180" w:line="460" w:lineRule="exact"/>
        <w:ind w:leftChars="500" w:left="2160" w:hangingChars="400" w:hanging="960"/>
        <w:jc w:val="both"/>
        <w:rPr>
          <w:rFonts w:ascii="標楷體" w:eastAsia="標楷體" w:hAnsi="標楷體"/>
        </w:rPr>
      </w:pPr>
      <w:r w:rsidRPr="004D59F6">
        <w:rPr>
          <w:rFonts w:ascii="標楷體" w:eastAsia="標楷體" w:hAnsi="標楷體" w:hint="eastAsia"/>
        </w:rPr>
        <w:t>大學部：透過本系民法概要、金融倫理等課程培養</w:t>
      </w:r>
      <w:r>
        <w:rPr>
          <w:rFonts w:eastAsia="標楷體" w:hint="eastAsia"/>
          <w:color w:val="000000"/>
        </w:rPr>
        <w:t>金融倫理與金融服務</w:t>
      </w:r>
      <w:r>
        <w:rPr>
          <w:rFonts w:eastAsia="標楷體" w:hAnsi="標楷體" w:hint="eastAsia"/>
          <w:color w:val="000000"/>
        </w:rPr>
        <w:t>的能力。</w:t>
      </w:r>
    </w:p>
    <w:p w:rsidR="007A3F5B" w:rsidRPr="004D59F6" w:rsidRDefault="007A3F5B" w:rsidP="007A3F5B">
      <w:pPr>
        <w:spacing w:afterLines="50" w:after="180" w:line="460" w:lineRule="exact"/>
        <w:ind w:leftChars="450" w:left="1080" w:firstLineChars="50" w:firstLine="120"/>
        <w:jc w:val="both"/>
        <w:rPr>
          <w:rFonts w:ascii="標楷體" w:eastAsia="標楷體" w:hAnsi="標楷體"/>
        </w:rPr>
      </w:pPr>
      <w:r w:rsidRPr="004D59F6">
        <w:rPr>
          <w:rFonts w:ascii="標楷體" w:eastAsia="標楷體" w:hAnsi="標楷體" w:hint="eastAsia"/>
        </w:rPr>
        <w:t>碩士班：透過本系金融倫理等課程培養</w:t>
      </w:r>
      <w:r>
        <w:rPr>
          <w:rFonts w:eastAsia="標楷體" w:hint="eastAsia"/>
          <w:color w:val="000000"/>
        </w:rPr>
        <w:t>金融倫理與金融服務</w:t>
      </w:r>
      <w:r>
        <w:rPr>
          <w:rFonts w:eastAsia="標楷體" w:hAnsi="標楷體" w:hint="eastAsia"/>
          <w:color w:val="000000"/>
        </w:rPr>
        <w:t>的能力。</w:t>
      </w:r>
    </w:p>
    <w:p w:rsidR="007A3F5B" w:rsidRDefault="007A3F5B" w:rsidP="007A3F5B">
      <w:pPr>
        <w:spacing w:afterLines="50" w:after="180" w:line="460" w:lineRule="exact"/>
        <w:ind w:firstLineChars="300" w:firstLine="720"/>
        <w:jc w:val="both"/>
        <w:rPr>
          <w:rFonts w:eastAsia="標楷體" w:hAnsi="標楷體"/>
          <w:color w:val="000000"/>
        </w:rPr>
      </w:pPr>
      <w:r>
        <w:rPr>
          <w:rFonts w:eastAsia="標楷體"/>
          <w:color w:val="000000"/>
        </w:rPr>
        <w:t xml:space="preserve"> (</w:t>
      </w:r>
      <w:r>
        <w:rPr>
          <w:rFonts w:eastAsia="標楷體" w:hint="eastAsia"/>
          <w:color w:val="000000"/>
        </w:rPr>
        <w:t>七</w:t>
      </w:r>
      <w:r>
        <w:rPr>
          <w:rFonts w:eastAsia="標楷體"/>
          <w:color w:val="000000"/>
        </w:rPr>
        <w:t xml:space="preserve">) </w:t>
      </w:r>
      <w:r>
        <w:rPr>
          <w:rFonts w:eastAsia="標楷體" w:hint="eastAsia"/>
          <w:color w:val="000000"/>
        </w:rPr>
        <w:t>國際化資訊應用的</w:t>
      </w:r>
      <w:r>
        <w:rPr>
          <w:rFonts w:eastAsia="標楷體" w:hAnsi="標楷體" w:hint="eastAsia"/>
          <w:color w:val="000000"/>
        </w:rPr>
        <w:t>能力。</w:t>
      </w:r>
    </w:p>
    <w:p w:rsidR="007A3F5B" w:rsidRPr="001D517F" w:rsidRDefault="007A3F5B" w:rsidP="007A3F5B">
      <w:pPr>
        <w:spacing w:afterLines="50" w:after="180" w:line="460" w:lineRule="exact"/>
        <w:ind w:leftChars="500" w:left="2160" w:hangingChars="400" w:hanging="960"/>
        <w:jc w:val="both"/>
        <w:rPr>
          <w:rFonts w:eastAsia="標楷體"/>
        </w:rPr>
      </w:pPr>
      <w:r w:rsidRPr="001D517F">
        <w:rPr>
          <w:rFonts w:eastAsia="標楷體" w:hint="eastAsia"/>
        </w:rPr>
        <w:t>大學部：透過</w:t>
      </w:r>
      <w:proofErr w:type="gramStart"/>
      <w:r w:rsidRPr="001D517F">
        <w:rPr>
          <w:rFonts w:eastAsia="標楷體" w:hint="eastAsia"/>
        </w:rPr>
        <w:t>本系</w:t>
      </w:r>
      <w:r w:rsidRPr="004D59F6">
        <w:rPr>
          <w:rFonts w:ascii="標楷體" w:eastAsia="標楷體" w:hAnsi="標楷體" w:hint="eastAsia"/>
        </w:rPr>
        <w:t>財金</w:t>
      </w:r>
      <w:proofErr w:type="gramEnd"/>
      <w:r w:rsidRPr="004D59F6">
        <w:rPr>
          <w:rFonts w:ascii="標楷體" w:eastAsia="標楷體" w:hAnsi="標楷體" w:hint="eastAsia"/>
        </w:rPr>
        <w:t>書報選讀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英文授課</w:t>
      </w:r>
      <w:r>
        <w:rPr>
          <w:rFonts w:ascii="標楷體" w:eastAsia="標楷體" w:hAnsi="標楷體"/>
        </w:rPr>
        <w:t>)</w:t>
      </w:r>
      <w:r w:rsidRPr="004D59F6">
        <w:rPr>
          <w:rFonts w:ascii="標楷體" w:eastAsia="標楷體" w:hAnsi="標楷體" w:hint="eastAsia"/>
        </w:rPr>
        <w:t>、投資與理財規劃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英文授課</w:t>
      </w:r>
      <w:r>
        <w:rPr>
          <w:rFonts w:ascii="標楷體" w:eastAsia="標楷體" w:hAnsi="標楷體"/>
        </w:rPr>
        <w:t>)</w:t>
      </w:r>
      <w:r w:rsidRPr="004D59F6">
        <w:rPr>
          <w:rFonts w:ascii="標楷體" w:eastAsia="標楷體" w:hAnsi="標楷體" w:hint="eastAsia"/>
        </w:rPr>
        <w:t>、</w:t>
      </w:r>
      <w:r w:rsidRPr="0008591F">
        <w:rPr>
          <w:rFonts w:eastAsia="標楷體" w:hint="eastAsia"/>
          <w:color w:val="000000"/>
        </w:rPr>
        <w:t>國際財務管理課</w:t>
      </w:r>
      <w:r w:rsidRPr="001D517F">
        <w:rPr>
          <w:rFonts w:eastAsia="標楷體" w:hint="eastAsia"/>
        </w:rPr>
        <w:t>程培養</w:t>
      </w:r>
      <w:r>
        <w:rPr>
          <w:rFonts w:eastAsia="標楷體" w:hint="eastAsia"/>
          <w:color w:val="000000"/>
        </w:rPr>
        <w:t>國際化資訊應用的</w:t>
      </w:r>
      <w:r>
        <w:rPr>
          <w:rFonts w:eastAsia="標楷體" w:hAnsi="標楷體" w:hint="eastAsia"/>
          <w:color w:val="000000"/>
        </w:rPr>
        <w:t>能力。</w:t>
      </w:r>
    </w:p>
    <w:p w:rsidR="007A3F5B" w:rsidRDefault="007A3F5B" w:rsidP="007A3F5B">
      <w:pPr>
        <w:spacing w:afterLines="50" w:after="180" w:line="460" w:lineRule="exact"/>
        <w:ind w:leftChars="450" w:left="1080" w:firstLineChars="50" w:firstLine="120"/>
        <w:jc w:val="both"/>
        <w:rPr>
          <w:rFonts w:eastAsia="標楷體" w:hAnsi="標楷體" w:hint="eastAsia"/>
          <w:color w:val="000000"/>
        </w:rPr>
      </w:pPr>
      <w:r w:rsidRPr="001D517F">
        <w:rPr>
          <w:rFonts w:eastAsia="標楷體" w:hint="eastAsia"/>
        </w:rPr>
        <w:t>碩士班：透過本系</w:t>
      </w:r>
      <w:r w:rsidRPr="0008591F">
        <w:rPr>
          <w:rFonts w:eastAsia="標楷體" w:hint="eastAsia"/>
          <w:color w:val="000000"/>
        </w:rPr>
        <w:t>國際財務管理課程</w:t>
      </w:r>
      <w:r w:rsidRPr="001D517F">
        <w:rPr>
          <w:rFonts w:eastAsia="標楷體" w:hint="eastAsia"/>
        </w:rPr>
        <w:t>培養</w:t>
      </w:r>
      <w:r>
        <w:rPr>
          <w:rFonts w:eastAsia="標楷體" w:hint="eastAsia"/>
          <w:color w:val="000000"/>
        </w:rPr>
        <w:t>國際化資訊應用的</w:t>
      </w:r>
      <w:r>
        <w:rPr>
          <w:rFonts w:eastAsia="標楷體" w:hAnsi="標楷體" w:hint="eastAsia"/>
          <w:color w:val="000000"/>
        </w:rPr>
        <w:t>能力。</w:t>
      </w:r>
    </w:p>
    <w:p w:rsidR="007A3F5B" w:rsidRDefault="007A3F5B" w:rsidP="007A3F5B">
      <w:pPr>
        <w:spacing w:afterLines="50" w:after="180" w:line="460" w:lineRule="exact"/>
        <w:ind w:leftChars="450" w:left="1080" w:firstLineChars="50" w:firstLine="120"/>
        <w:jc w:val="both"/>
        <w:rPr>
          <w:rFonts w:eastAsia="標楷體" w:hAnsi="標楷體" w:hint="eastAsia"/>
          <w:color w:val="000000"/>
        </w:rPr>
      </w:pPr>
    </w:p>
    <w:p w:rsidR="007A3F5B" w:rsidRPr="001D517F" w:rsidRDefault="007A3F5B" w:rsidP="007A3F5B">
      <w:pPr>
        <w:spacing w:afterLines="50" w:after="180" w:line="460" w:lineRule="exact"/>
        <w:ind w:leftChars="450" w:left="1080" w:firstLineChars="50" w:firstLine="120"/>
        <w:jc w:val="both"/>
        <w:rPr>
          <w:rFonts w:eastAsia="標楷體"/>
        </w:rPr>
      </w:pPr>
    </w:p>
    <w:p w:rsidR="007A3F5B" w:rsidRPr="00370592" w:rsidRDefault="007A3F5B" w:rsidP="007A3F5B">
      <w:pPr>
        <w:pStyle w:val="9"/>
        <w:numPr>
          <w:ilvl w:val="0"/>
          <w:numId w:val="0"/>
        </w:numPr>
        <w:jc w:val="left"/>
      </w:pPr>
      <w:r>
        <w:lastRenderedPageBreak/>
        <w:br w:type="page"/>
      </w:r>
    </w:p>
    <w:tbl>
      <w:tblPr>
        <w:tblW w:w="8613" w:type="dxa"/>
        <w:jc w:val="center"/>
        <w:tblInd w:w="9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2532"/>
        <w:gridCol w:w="4963"/>
        <w:gridCol w:w="661"/>
      </w:tblGrid>
      <w:tr w:rsidR="007A3F5B" w:rsidRPr="009C7152" w:rsidTr="004A2B2D">
        <w:trPr>
          <w:tblHeader/>
          <w:jc w:val="center"/>
        </w:trPr>
        <w:tc>
          <w:tcPr>
            <w:tcW w:w="8613" w:type="dxa"/>
            <w:gridSpan w:val="4"/>
            <w:shd w:val="clear" w:color="auto" w:fill="BFBFBF"/>
            <w:vAlign w:val="center"/>
          </w:tcPr>
          <w:p w:rsidR="007A3F5B" w:rsidRPr="00FF450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F450F">
              <w:rPr>
                <w:rFonts w:ascii="標楷體" w:eastAsia="標楷體" w:hAnsi="標楷體" w:hint="eastAsia"/>
              </w:rPr>
              <w:lastRenderedPageBreak/>
              <w:t>大學部課程分為三大類：(1) 金融管理的基礎，(2) 金融管理的應用，(3) 金融管理的進階。在各大類之中，又針對課程內容分為數</w:t>
            </w:r>
            <w:proofErr w:type="gramStart"/>
            <w:r w:rsidRPr="00FF450F">
              <w:rPr>
                <w:rFonts w:ascii="標楷體" w:eastAsia="標楷體" w:hAnsi="標楷體" w:hint="eastAsia"/>
              </w:rPr>
              <w:t>個</w:t>
            </w:r>
            <w:proofErr w:type="gramEnd"/>
            <w:r w:rsidRPr="00FF450F">
              <w:rPr>
                <w:rFonts w:ascii="標楷體" w:eastAsia="標楷體" w:hAnsi="標楷體" w:hint="eastAsia"/>
              </w:rPr>
              <w:t>細項。細分如下：</w:t>
            </w:r>
          </w:p>
        </w:tc>
      </w:tr>
      <w:tr w:rsidR="007A3F5B" w:rsidRPr="009C7152" w:rsidTr="004A2B2D">
        <w:trPr>
          <w:tblHeader/>
          <w:jc w:val="center"/>
        </w:trPr>
        <w:tc>
          <w:tcPr>
            <w:tcW w:w="2989" w:type="dxa"/>
            <w:gridSpan w:val="2"/>
            <w:shd w:val="clear" w:color="auto" w:fill="BFBFBF"/>
            <w:vAlign w:val="center"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課程分類</w:t>
            </w:r>
          </w:p>
        </w:tc>
        <w:tc>
          <w:tcPr>
            <w:tcW w:w="5624" w:type="dxa"/>
            <w:gridSpan w:val="2"/>
            <w:shd w:val="clear" w:color="auto" w:fill="BFBFBF"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金融管理學系課程名稱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A. 金融管理的基礎</w:t>
            </w:r>
          </w:p>
        </w:tc>
        <w:tc>
          <w:tcPr>
            <w:tcW w:w="2532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 xml:space="preserve">A.1 </w:t>
            </w:r>
            <w:r>
              <w:rPr>
                <w:rFonts w:ascii="標楷體" w:eastAsia="標楷體" w:hAnsi="標楷體" w:hint="eastAsia"/>
                <w:color w:val="000000"/>
              </w:rPr>
              <w:br/>
            </w:r>
            <w:r w:rsidRPr="00F4329F">
              <w:rPr>
                <w:rFonts w:ascii="標楷體" w:eastAsia="標楷體" w:hAnsi="標楷體"/>
                <w:color w:val="000000"/>
              </w:rPr>
              <w:t>數理邏輯與經濟分析</w:t>
            </w:r>
          </w:p>
        </w:tc>
        <w:tc>
          <w:tcPr>
            <w:tcW w:w="4963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r w:rsidRPr="00F4329F">
              <w:rPr>
                <w:rFonts w:ascii="標楷體" w:eastAsia="標楷體" w:hAnsi="標楷體"/>
                <w:color w:val="000000"/>
              </w:rPr>
              <w:t>經濟學原理(</w:t>
            </w:r>
            <w:proofErr w:type="gramStart"/>
            <w:r w:rsidRPr="00F4329F">
              <w:rPr>
                <w:rFonts w:ascii="標楷體" w:eastAsia="標楷體" w:hAnsi="標楷體"/>
                <w:color w:val="000000"/>
              </w:rPr>
              <w:t>一</w:t>
            </w:r>
            <w:proofErr w:type="gramEnd"/>
            <w:r w:rsidRPr="00F4329F">
              <w:rPr>
                <w:rFonts w:ascii="標楷體" w:eastAsia="標楷體" w:hAnsi="標楷體"/>
                <w:color w:val="000000"/>
              </w:rPr>
              <w:t>) 、經濟學原理(二)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r w:rsidRPr="00F4329F">
              <w:rPr>
                <w:rFonts w:ascii="標楷體" w:eastAsia="標楷體" w:hAnsi="標楷體"/>
                <w:color w:val="000000"/>
              </w:rPr>
              <w:t>統計學(</w:t>
            </w:r>
            <w:proofErr w:type="gramStart"/>
            <w:r w:rsidRPr="00F4329F">
              <w:rPr>
                <w:rFonts w:ascii="標楷體" w:eastAsia="標楷體" w:hAnsi="標楷體"/>
                <w:color w:val="000000"/>
              </w:rPr>
              <w:t>一</w:t>
            </w:r>
            <w:proofErr w:type="gramEnd"/>
            <w:r w:rsidRPr="00F4329F">
              <w:rPr>
                <w:rFonts w:ascii="標楷體" w:eastAsia="標楷體" w:hAnsi="標楷體"/>
                <w:color w:val="000000"/>
              </w:rPr>
              <w:t>)、統計學(二)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r w:rsidRPr="00F4329F">
              <w:rPr>
                <w:rFonts w:ascii="標楷體" w:eastAsia="標楷體" w:hAnsi="標楷體"/>
                <w:color w:val="000000"/>
              </w:rPr>
              <w:t>微積分(</w:t>
            </w:r>
            <w:proofErr w:type="gramStart"/>
            <w:r w:rsidRPr="00F4329F">
              <w:rPr>
                <w:rFonts w:ascii="標楷體" w:eastAsia="標楷體" w:hAnsi="標楷體"/>
                <w:color w:val="000000"/>
              </w:rPr>
              <w:t>一</w:t>
            </w:r>
            <w:proofErr w:type="gramEnd"/>
            <w:r w:rsidRPr="00F4329F">
              <w:rPr>
                <w:rFonts w:ascii="標楷體" w:eastAsia="標楷體" w:hAnsi="標楷體"/>
                <w:color w:val="000000"/>
              </w:rPr>
              <w:t>)、微積分(二)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r w:rsidRPr="00F4329F">
              <w:rPr>
                <w:rFonts w:ascii="標楷體" w:eastAsia="標楷體" w:hAnsi="標楷體"/>
                <w:color w:val="000000"/>
              </w:rPr>
              <w:t>個體經濟學(</w:t>
            </w:r>
            <w:proofErr w:type="gramStart"/>
            <w:r w:rsidRPr="00F4329F">
              <w:rPr>
                <w:rFonts w:ascii="標楷體" w:eastAsia="標楷體" w:hAnsi="標楷體"/>
                <w:color w:val="000000"/>
              </w:rPr>
              <w:t>一</w:t>
            </w:r>
            <w:proofErr w:type="gramEnd"/>
            <w:r w:rsidRPr="00F4329F"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t xml:space="preserve"> </w:t>
            </w:r>
            <w:r w:rsidRPr="00F4329F">
              <w:rPr>
                <w:rFonts w:ascii="標楷體" w:eastAsia="標楷體" w:hAnsi="標楷體"/>
                <w:color w:val="000000"/>
              </w:rPr>
              <w:t>個體經濟學(二)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總體經濟學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貨幣銀行學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A.2</w:t>
            </w:r>
            <w:r>
              <w:rPr>
                <w:rFonts w:ascii="標楷體" w:eastAsia="標楷體" w:hAnsi="標楷體" w:hint="eastAsia"/>
                <w:color w:val="000000"/>
              </w:rPr>
              <w:br/>
            </w:r>
            <w:r w:rsidRPr="00F4329F">
              <w:rPr>
                <w:rFonts w:ascii="標楷體" w:eastAsia="標楷體" w:hAnsi="標楷體"/>
                <w:color w:val="000000"/>
              </w:rPr>
              <w:t>會計資訊</w:t>
            </w:r>
          </w:p>
        </w:tc>
        <w:tc>
          <w:tcPr>
            <w:tcW w:w="4963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r w:rsidRPr="00F4329F">
              <w:rPr>
                <w:rFonts w:ascii="標楷體" w:eastAsia="標楷體" w:hAnsi="標楷體"/>
                <w:color w:val="000000"/>
              </w:rPr>
              <w:t>會計學原理(</w:t>
            </w:r>
            <w:proofErr w:type="gramStart"/>
            <w:r w:rsidRPr="00F4329F">
              <w:rPr>
                <w:rFonts w:ascii="標楷體" w:eastAsia="標楷體" w:hAnsi="標楷體"/>
                <w:color w:val="000000"/>
              </w:rPr>
              <w:t>一</w:t>
            </w:r>
            <w:proofErr w:type="gramEnd"/>
            <w:r w:rsidRPr="00F4329F">
              <w:rPr>
                <w:rFonts w:ascii="標楷體" w:eastAsia="標楷體" w:hAnsi="標楷體"/>
                <w:color w:val="000000"/>
              </w:rPr>
              <w:t>)、會計學原理(二)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r w:rsidRPr="00F4329F">
              <w:rPr>
                <w:rFonts w:ascii="標楷體" w:eastAsia="標楷體" w:hAnsi="標楷體"/>
                <w:color w:val="000000"/>
              </w:rPr>
              <w:t>中級會計學(</w:t>
            </w:r>
            <w:proofErr w:type="gramStart"/>
            <w:r w:rsidRPr="00F4329F">
              <w:rPr>
                <w:rFonts w:ascii="標楷體" w:eastAsia="標楷體" w:hAnsi="標楷體"/>
                <w:color w:val="000000"/>
              </w:rPr>
              <w:t>一</w:t>
            </w:r>
            <w:proofErr w:type="gramEnd"/>
            <w:r w:rsidRPr="00F4329F">
              <w:rPr>
                <w:rFonts w:ascii="標楷體" w:eastAsia="標楷體" w:hAnsi="標楷體"/>
                <w:color w:val="000000"/>
              </w:rPr>
              <w:t>)、中級會計學(二)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A.3</w:t>
            </w:r>
            <w:r>
              <w:rPr>
                <w:rFonts w:ascii="標楷體" w:eastAsia="標楷體" w:hAnsi="標楷體" w:hint="eastAsia"/>
                <w:color w:val="000000"/>
              </w:rPr>
              <w:br/>
            </w:r>
            <w:r w:rsidRPr="00F4329F">
              <w:rPr>
                <w:rFonts w:ascii="標楷體" w:eastAsia="標楷體" w:hAnsi="標楷體"/>
                <w:color w:val="000000"/>
              </w:rPr>
              <w:t>基礎能力培養</w:t>
            </w:r>
          </w:p>
        </w:tc>
        <w:tc>
          <w:tcPr>
            <w:tcW w:w="4963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計算機概論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r w:rsidRPr="00F4329F">
              <w:rPr>
                <w:rFonts w:ascii="標楷體" w:eastAsia="標楷體" w:hAnsi="標楷體"/>
                <w:color w:val="000000"/>
              </w:rPr>
              <w:t>管理學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r w:rsidRPr="00F4329F">
              <w:rPr>
                <w:rFonts w:ascii="標楷體" w:eastAsia="標楷體" w:hAnsi="標楷體"/>
                <w:color w:val="000000"/>
              </w:rPr>
              <w:t>行銷管理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r w:rsidRPr="00F4329F">
              <w:rPr>
                <w:rFonts w:ascii="標楷體" w:eastAsia="標楷體" w:hAnsi="標楷體"/>
                <w:color w:val="000000"/>
              </w:rPr>
              <w:t>管理數學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B93416" w:rsidRDefault="007A3F5B" w:rsidP="004A2B2D">
            <w:pPr>
              <w:snapToGrid w:val="0"/>
              <w:spacing w:line="440" w:lineRule="exact"/>
            </w:pPr>
            <w:r w:rsidRPr="00B93416">
              <w:rPr>
                <w:rFonts w:eastAsia="標楷體" w:hint="eastAsia"/>
              </w:rPr>
              <w:t>財務軟體應用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A.4</w:t>
            </w:r>
            <w:r>
              <w:rPr>
                <w:rFonts w:ascii="標楷體" w:eastAsia="標楷體" w:hAnsi="標楷體" w:hint="eastAsia"/>
                <w:color w:val="000000"/>
              </w:rPr>
              <w:br/>
            </w:r>
            <w:r w:rsidRPr="00F4329F">
              <w:rPr>
                <w:rFonts w:ascii="標楷體" w:eastAsia="標楷體" w:hAnsi="標楷體"/>
                <w:color w:val="000000"/>
              </w:rPr>
              <w:t>法律與倫理</w:t>
            </w:r>
          </w:p>
        </w:tc>
        <w:tc>
          <w:tcPr>
            <w:tcW w:w="4963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民法概要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金融倫理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AF26B1">
              <w:rPr>
                <w:rFonts w:ascii="標楷體" w:eastAsia="標楷體" w:hAnsi="標楷體" w:hint="eastAsia"/>
                <w:color w:val="000000"/>
              </w:rPr>
              <w:t>支付及信用工具法[票據法]</w:t>
            </w:r>
            <w:r>
              <w:rPr>
                <w:rFonts w:ascii="標楷體" w:eastAsia="標楷體" w:hAnsi="標楷體"/>
                <w:color w:val="000000"/>
              </w:rPr>
              <w:br/>
            </w:r>
            <w:r w:rsidRPr="00AF26B1">
              <w:rPr>
                <w:rFonts w:ascii="標楷體" w:eastAsia="標楷體" w:hAnsi="標楷體" w:hint="eastAsia"/>
                <w:color w:val="000000"/>
              </w:rPr>
              <w:t>（法律學系、財經法律學系）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AF26B1">
              <w:rPr>
                <w:rFonts w:ascii="標楷體" w:eastAsia="標楷體" w:hAnsi="標楷體" w:hint="eastAsia"/>
                <w:color w:val="000000"/>
              </w:rPr>
              <w:t>證券交易法（財經法律學系）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AF26B1">
              <w:rPr>
                <w:rFonts w:ascii="標楷體" w:eastAsia="標楷體" w:hAnsi="標楷體" w:hint="eastAsia"/>
                <w:color w:val="000000"/>
              </w:rPr>
              <w:t>商事法總論及公司法</w:t>
            </w:r>
            <w:r>
              <w:rPr>
                <w:rFonts w:ascii="標楷體" w:eastAsia="標楷體" w:hAnsi="標楷體"/>
                <w:color w:val="000000"/>
              </w:rPr>
              <w:br/>
            </w:r>
            <w:r w:rsidRPr="00AF26B1">
              <w:rPr>
                <w:rFonts w:ascii="標楷體" w:eastAsia="標楷體" w:hAnsi="標楷體" w:hint="eastAsia"/>
                <w:color w:val="000000"/>
              </w:rPr>
              <w:t>（法律學系、財經法律學系）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AF26B1">
              <w:rPr>
                <w:rFonts w:ascii="標楷體" w:eastAsia="標楷體" w:hAnsi="標楷體" w:hint="eastAsia"/>
                <w:color w:val="000000"/>
              </w:rPr>
              <w:t>商事法實例演習（法律學系、財經法律學系）</w:t>
            </w:r>
          </w:p>
        </w:tc>
        <w:tc>
          <w:tcPr>
            <w:tcW w:w="66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B. 金融管理的</w:t>
            </w:r>
            <w:r w:rsidRPr="00F4329F">
              <w:rPr>
                <w:rFonts w:ascii="標楷體" w:eastAsia="標楷體" w:hAnsi="標楷體"/>
                <w:color w:val="000000"/>
              </w:rPr>
              <w:lastRenderedPageBreak/>
              <w:t>應用</w:t>
            </w:r>
          </w:p>
        </w:tc>
        <w:tc>
          <w:tcPr>
            <w:tcW w:w="2532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lastRenderedPageBreak/>
              <w:t>B.1 投資專業</w:t>
            </w:r>
          </w:p>
        </w:tc>
        <w:tc>
          <w:tcPr>
            <w:tcW w:w="4963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投資學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金融市場與機構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投資組合管理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E2530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hyperlink r:id="rId6" w:history="1">
              <w:r w:rsidRPr="00F4329F">
                <w:rPr>
                  <w:rFonts w:ascii="標楷體" w:eastAsia="標楷體" w:hAnsi="標楷體"/>
                  <w:color w:val="000000"/>
                </w:rPr>
                <w:t>不動產投資管理</w:t>
              </w:r>
            </w:hyperlink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E2530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hyperlink r:id="rId7" w:history="1">
              <w:r w:rsidRPr="00F4329F">
                <w:rPr>
                  <w:rFonts w:ascii="標楷體" w:eastAsia="標楷體" w:hAnsi="標楷體"/>
                  <w:color w:val="000000"/>
                </w:rPr>
                <w:t>固定收益型證券</w:t>
              </w:r>
            </w:hyperlink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E2530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hyperlink r:id="rId8" w:history="1">
              <w:r w:rsidRPr="00F4329F">
                <w:rPr>
                  <w:rFonts w:ascii="標楷體" w:eastAsia="標楷體" w:hAnsi="標楷體"/>
                  <w:color w:val="000000"/>
                </w:rPr>
                <w:t>證券投資分析</w:t>
              </w:r>
            </w:hyperlink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E2530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基金投資與管理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A572A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A572AF">
              <w:rPr>
                <w:rFonts w:eastAsia="標楷體" w:hint="eastAsia"/>
              </w:rPr>
              <w:t>投資策略理論與實務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Default="007A3F5B" w:rsidP="004A2B2D">
            <w:pPr>
              <w:snapToGrid w:val="0"/>
              <w:jc w:val="center"/>
            </w:pPr>
            <w:r w:rsidRPr="00386A2D"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A572A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A572AF">
              <w:rPr>
                <w:rFonts w:eastAsia="標楷體" w:hint="eastAsia"/>
              </w:rPr>
              <w:t>資產評價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Default="007A3F5B" w:rsidP="004A2B2D">
            <w:pPr>
              <w:snapToGrid w:val="0"/>
              <w:jc w:val="center"/>
            </w:pPr>
            <w:r w:rsidRPr="00386A2D"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E2530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公司治理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E2530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E2530F">
              <w:rPr>
                <w:rFonts w:ascii="標楷體" w:eastAsia="標楷體" w:hAnsi="標楷體"/>
                <w:color w:val="000000"/>
              </w:rPr>
              <w:t>企業評價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E2530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保險學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E2530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企業評價與分析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E2530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行為財務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8637E4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B.2 理財能力</w:t>
            </w:r>
          </w:p>
        </w:tc>
        <w:tc>
          <w:tcPr>
            <w:tcW w:w="4963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D14E14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財務管理(</w:t>
            </w:r>
            <w:proofErr w:type="gramStart"/>
            <w:r w:rsidRPr="00F4329F">
              <w:rPr>
                <w:rFonts w:ascii="標楷體" w:eastAsia="標楷體" w:hAnsi="標楷體"/>
                <w:color w:val="000000"/>
              </w:rPr>
              <w:t>一</w:t>
            </w:r>
            <w:proofErr w:type="gramEnd"/>
            <w:r w:rsidRPr="00F4329F">
              <w:rPr>
                <w:rFonts w:ascii="標楷體" w:eastAsia="標楷體" w:hAnsi="標楷體"/>
                <w:color w:val="000000"/>
              </w:rPr>
              <w:t>)、財務管理(二)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D14E14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財務金融實習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D14E14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hyperlink r:id="rId9" w:history="1">
              <w:r w:rsidRPr="00F4329F">
                <w:rPr>
                  <w:rFonts w:ascii="標楷體" w:eastAsia="標楷體" w:hAnsi="標楷體"/>
                  <w:color w:val="000000"/>
                </w:rPr>
                <w:t>個人理財</w:t>
              </w:r>
            </w:hyperlink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D14E14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B.3 經濟分析應用</w:t>
            </w:r>
          </w:p>
        </w:tc>
        <w:tc>
          <w:tcPr>
            <w:tcW w:w="49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計量經濟學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trHeight w:val="472"/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B.4 會計資訊應用</w:t>
            </w:r>
          </w:p>
        </w:tc>
        <w:tc>
          <w:tcPr>
            <w:tcW w:w="4963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5A7D4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FF0000"/>
              </w:rPr>
            </w:pPr>
            <w:r w:rsidRPr="005A7D4F">
              <w:rPr>
                <w:rFonts w:ascii="標楷體" w:eastAsia="標楷體" w:hAnsi="標楷體" w:hint="eastAsia"/>
                <w:color w:val="FF0000"/>
              </w:rPr>
              <w:t>中級會計學（一）、（二）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5A7D4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5A7D4F">
              <w:rPr>
                <w:rFonts w:ascii="標楷體" w:eastAsia="標楷體" w:hAnsi="標楷體" w:hint="eastAsia"/>
                <w:color w:val="FF0000"/>
              </w:rPr>
              <w:t>選</w:t>
            </w:r>
          </w:p>
        </w:tc>
      </w:tr>
      <w:tr w:rsidR="007A3F5B" w:rsidRPr="009C7152" w:rsidTr="004A2B2D">
        <w:trPr>
          <w:trHeight w:val="472"/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hyperlink r:id="rId10" w:history="1">
              <w:r w:rsidRPr="00AF26B1">
                <w:rPr>
                  <w:rFonts w:ascii="標楷體" w:eastAsia="標楷體" w:hAnsi="標楷體"/>
                  <w:color w:val="000000"/>
                </w:rPr>
                <w:t>財務報表分析</w:t>
              </w:r>
            </w:hyperlink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AF26B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trHeight w:val="472"/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5A7D4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FF0000"/>
              </w:rPr>
            </w:pPr>
            <w:r w:rsidRPr="005A7D4F">
              <w:rPr>
                <w:rFonts w:ascii="標楷體" w:eastAsia="標楷體" w:hAnsi="標楷體" w:hint="eastAsia"/>
                <w:color w:val="FF0000"/>
              </w:rPr>
              <w:t>成本會計學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5A7D4F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5A7D4F">
              <w:rPr>
                <w:rFonts w:ascii="標楷體" w:eastAsia="標楷體" w:hAnsi="標楷體" w:hint="eastAsia"/>
                <w:color w:val="FF0000"/>
              </w:rPr>
              <w:t>選</w:t>
            </w:r>
          </w:p>
        </w:tc>
      </w:tr>
      <w:tr w:rsidR="007A3F5B" w:rsidRPr="009C7152" w:rsidTr="004A2B2D">
        <w:trPr>
          <w:trHeight w:val="472"/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5A7D4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管理會計學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5A7D4F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選</w:t>
            </w:r>
          </w:p>
        </w:tc>
      </w:tr>
      <w:tr w:rsidR="007A3F5B" w:rsidRPr="009C7152" w:rsidTr="004A2B2D">
        <w:trPr>
          <w:trHeight w:val="472"/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5A7D4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審計學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5A7D4F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C. 金融管理的進階</w:t>
            </w:r>
          </w:p>
        </w:tc>
        <w:tc>
          <w:tcPr>
            <w:tcW w:w="2532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C.1 金融創新</w:t>
            </w:r>
          </w:p>
        </w:tc>
        <w:tc>
          <w:tcPr>
            <w:tcW w:w="4963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hyperlink r:id="rId11" w:history="1">
              <w:r w:rsidRPr="00F4329F">
                <w:rPr>
                  <w:rFonts w:ascii="標楷體" w:eastAsia="標楷體" w:hAnsi="標楷體"/>
                  <w:color w:val="000000"/>
                </w:rPr>
                <w:t>期貨與選擇權</w:t>
              </w:r>
            </w:hyperlink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衍生性金融商品簡介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A313AE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財務工程（一）、財務工程（二）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A313AE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A572AF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A572AF">
              <w:rPr>
                <w:rFonts w:eastAsia="標楷體" w:hint="eastAsia"/>
              </w:rPr>
              <w:t>金融商品定價與投資組合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AF26B1">
              <w:rPr>
                <w:rFonts w:ascii="標楷體" w:eastAsia="標楷體" w:hAnsi="標楷體" w:hint="eastAsia"/>
                <w:color w:val="000000"/>
              </w:rPr>
              <w:t>選擇權計價理論簡介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AF26B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hyperlink r:id="rId12" w:history="1">
              <w:r w:rsidRPr="00F4329F">
                <w:rPr>
                  <w:rFonts w:ascii="標楷體" w:eastAsia="標楷體" w:hAnsi="標楷體"/>
                  <w:color w:val="000000"/>
                </w:rPr>
                <w:t>複利數學</w:t>
              </w:r>
            </w:hyperlink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C.2風險管理</w:t>
            </w:r>
          </w:p>
        </w:tc>
        <w:tc>
          <w:tcPr>
            <w:tcW w:w="4963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金融風險管理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B93416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FF0000"/>
              </w:rPr>
            </w:pPr>
            <w:r w:rsidRPr="00B93416">
              <w:rPr>
                <w:rFonts w:ascii="標楷體" w:eastAsia="標楷體" w:hAnsi="標楷體" w:hint="eastAsia"/>
                <w:color w:val="FF0000"/>
              </w:rPr>
              <w:t>信用管理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B93416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B93416">
              <w:rPr>
                <w:rFonts w:ascii="標楷體" w:eastAsia="標楷體" w:hAnsi="標楷體" w:hint="eastAsia"/>
                <w:color w:val="FF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C.3 個案與專題</w:t>
            </w:r>
          </w:p>
        </w:tc>
        <w:tc>
          <w:tcPr>
            <w:tcW w:w="4963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r w:rsidRPr="00F4329F">
              <w:rPr>
                <w:rFonts w:ascii="標楷體" w:eastAsia="標楷體" w:hAnsi="標楷體"/>
                <w:color w:val="000000"/>
              </w:rPr>
              <w:t>公司理財</w:t>
            </w:r>
            <w:r>
              <w:rPr>
                <w:rFonts w:ascii="標楷體" w:eastAsia="標楷體" w:hAnsi="標楷體" w:hint="eastAsia"/>
                <w:color w:val="000000"/>
              </w:rPr>
              <w:t>專題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r w:rsidRPr="00F4329F">
              <w:rPr>
                <w:rFonts w:ascii="標楷體" w:eastAsia="標楷體" w:hAnsi="標楷體"/>
                <w:color w:val="000000"/>
              </w:rPr>
              <w:t>財務管理個案研究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B93416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B93416">
              <w:rPr>
                <w:rFonts w:eastAsia="標楷體" w:hint="eastAsia"/>
              </w:rPr>
              <w:t>當前金融問題分析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金融機構專題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B93416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B93416">
              <w:rPr>
                <w:rFonts w:eastAsia="標楷體" w:hint="eastAsia"/>
              </w:rPr>
              <w:t>保險實務個案研究、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5A7D4F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FF0000"/>
              </w:rPr>
            </w:pPr>
            <w:r w:rsidRPr="005A7D4F">
              <w:rPr>
                <w:rFonts w:ascii="標楷體" w:eastAsia="標楷體" w:hAnsi="標楷體" w:hint="eastAsia"/>
                <w:color w:val="FF0000"/>
              </w:rPr>
              <w:t>財務金融實習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5A7D4F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5A7D4F">
              <w:rPr>
                <w:rFonts w:ascii="標楷體" w:eastAsia="標楷體" w:hAnsi="標楷體" w:hint="eastAsia"/>
                <w:color w:val="FF0000"/>
              </w:rPr>
              <w:t>選</w:t>
            </w:r>
          </w:p>
        </w:tc>
      </w:tr>
      <w:tr w:rsidR="007A3F5B" w:rsidRPr="009C7152" w:rsidTr="004A2B2D">
        <w:trPr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B93416">
              <w:rPr>
                <w:rFonts w:ascii="標楷體" w:eastAsia="標楷體" w:hAnsi="標楷體" w:hint="eastAsia"/>
                <w:color w:val="000000"/>
              </w:rPr>
              <w:t>企業創意提案競賽</w:t>
            </w:r>
          </w:p>
        </w:tc>
        <w:tc>
          <w:tcPr>
            <w:tcW w:w="66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trHeight w:val="423"/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 w:val="restart"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F4329F">
              <w:rPr>
                <w:rFonts w:ascii="標楷體" w:eastAsia="標楷體" w:hAnsi="標楷體"/>
                <w:color w:val="000000"/>
              </w:rPr>
              <w:t>C.4國際資訊</w:t>
            </w:r>
          </w:p>
        </w:tc>
        <w:tc>
          <w:tcPr>
            <w:tcW w:w="4963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Default="007A3F5B" w:rsidP="004A2B2D">
            <w:pPr>
              <w:snapToGrid w:val="0"/>
              <w:spacing w:line="440" w:lineRule="exact"/>
            </w:pPr>
            <w:hyperlink r:id="rId13" w:history="1">
              <w:r w:rsidRPr="00F4329F">
                <w:rPr>
                  <w:rFonts w:ascii="標楷體" w:eastAsia="標楷體" w:hAnsi="標楷體"/>
                  <w:color w:val="000000"/>
                </w:rPr>
                <w:t>國際財務管理</w:t>
              </w:r>
            </w:hyperlink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9C7152" w:rsidTr="004A2B2D">
        <w:trPr>
          <w:trHeight w:val="387"/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ouble" w:sz="4" w:space="0" w:color="auto"/>
              <w:right w:val="single" w:sz="4" w:space="0" w:color="auto"/>
            </w:tcBorders>
          </w:tcPr>
          <w:p w:rsidR="007A3F5B" w:rsidRPr="00B93416" w:rsidRDefault="007A3F5B" w:rsidP="004A2B2D">
            <w:pPr>
              <w:snapToGrid w:val="0"/>
              <w:spacing w:line="440" w:lineRule="exact"/>
            </w:pPr>
            <w:r w:rsidRPr="00B93416">
              <w:rPr>
                <w:rFonts w:eastAsia="標楷體" w:hint="eastAsia"/>
              </w:rPr>
              <w:t>英文財金書報選讀</w:t>
            </w:r>
          </w:p>
        </w:tc>
        <w:tc>
          <w:tcPr>
            <w:tcW w:w="661" w:type="dxa"/>
            <w:tcBorders>
              <w:left w:val="single" w:sz="4" w:space="0" w:color="auto"/>
            </w:tcBorders>
            <w:vAlign w:val="center"/>
          </w:tcPr>
          <w:p w:rsidR="007A3F5B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9C7152" w:rsidTr="004A2B2D">
        <w:trPr>
          <w:trHeight w:val="387"/>
          <w:jc w:val="center"/>
        </w:trPr>
        <w:tc>
          <w:tcPr>
            <w:tcW w:w="457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2" w:type="dxa"/>
            <w:vMerge/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63" w:type="dxa"/>
            <w:tcBorders>
              <w:top w:val="dashSmallGap" w:sz="4" w:space="0" w:color="auto"/>
              <w:bottom w:val="double" w:sz="4" w:space="0" w:color="auto"/>
              <w:right w:val="single" w:sz="4" w:space="0" w:color="auto"/>
            </w:tcBorders>
          </w:tcPr>
          <w:p w:rsidR="007A3F5B" w:rsidRPr="00F4329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hyperlink r:id="rId14" w:history="1">
              <w:r w:rsidRPr="00F4329F">
                <w:rPr>
                  <w:rFonts w:ascii="標楷體" w:eastAsia="標楷體" w:hAnsi="標楷體"/>
                  <w:color w:val="000000"/>
                </w:rPr>
                <w:t>投資與財務規劃</w:t>
              </w:r>
            </w:hyperlink>
            <w:r w:rsidRPr="00F4329F">
              <w:rPr>
                <w:rFonts w:ascii="標楷體" w:eastAsia="標楷體" w:hAnsi="標楷體"/>
                <w:color w:val="000000"/>
              </w:rPr>
              <w:t>、</w:t>
            </w:r>
          </w:p>
        </w:tc>
        <w:tc>
          <w:tcPr>
            <w:tcW w:w="661" w:type="dxa"/>
            <w:tcBorders>
              <w:left w:val="single" w:sz="4" w:space="0" w:color="auto"/>
            </w:tcBorders>
            <w:vAlign w:val="center"/>
          </w:tcPr>
          <w:p w:rsidR="007A3F5B" w:rsidRPr="00F4329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</w:tbl>
    <w:p w:rsidR="007A3F5B" w:rsidRPr="00370592" w:rsidRDefault="007A3F5B" w:rsidP="007A3F5B">
      <w:pPr>
        <w:pStyle w:val="1"/>
        <w:numPr>
          <w:ilvl w:val="0"/>
          <w:numId w:val="0"/>
        </w:numPr>
        <w:jc w:val="left"/>
        <w:rPr>
          <w:b/>
        </w:rPr>
      </w:pPr>
      <w:r>
        <w:rPr>
          <w:b/>
        </w:rPr>
        <w:br w:type="page"/>
      </w:r>
      <w:r w:rsidRPr="00574577">
        <w:rPr>
          <w:b/>
        </w:rPr>
        <w:lastRenderedPageBreak/>
        <w:t xml:space="preserve"> </w:t>
      </w:r>
    </w:p>
    <w:tbl>
      <w:tblPr>
        <w:tblW w:w="875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552"/>
        <w:gridCol w:w="4369"/>
        <w:gridCol w:w="592"/>
      </w:tblGrid>
      <w:tr w:rsidR="007A3F5B" w:rsidRPr="00D02C0B" w:rsidTr="004A2B2D">
        <w:trPr>
          <w:tblHeader/>
          <w:jc w:val="center"/>
        </w:trPr>
        <w:tc>
          <w:tcPr>
            <w:tcW w:w="8755" w:type="dxa"/>
            <w:gridSpan w:val="4"/>
            <w:tcBorders>
              <w:top w:val="double" w:sz="4" w:space="0" w:color="auto"/>
              <w:bottom w:val="single" w:sz="4" w:space="0" w:color="auto"/>
            </w:tcBorders>
            <w:shd w:val="clear" w:color="auto" w:fill="BFBFBF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574577">
              <w:rPr>
                <w:rFonts w:eastAsia="標楷體" w:hint="eastAsia"/>
                <w:b/>
              </w:rPr>
              <w:t>研究所課程亦分為三大類：</w:t>
            </w:r>
            <w:r w:rsidRPr="00574577">
              <w:rPr>
                <w:rFonts w:eastAsia="標楷體" w:hint="eastAsia"/>
                <w:b/>
              </w:rPr>
              <w:t xml:space="preserve">(1) </w:t>
            </w:r>
            <w:r w:rsidRPr="00574577">
              <w:rPr>
                <w:rFonts w:eastAsia="標楷體" w:hint="eastAsia"/>
                <w:b/>
              </w:rPr>
              <w:t>金融管理的基礎，</w:t>
            </w:r>
            <w:r w:rsidRPr="00574577">
              <w:rPr>
                <w:rFonts w:eastAsia="標楷體" w:hint="eastAsia"/>
                <w:b/>
              </w:rPr>
              <w:t xml:space="preserve">(2) </w:t>
            </w:r>
            <w:r w:rsidRPr="00574577">
              <w:rPr>
                <w:rFonts w:eastAsia="標楷體" w:hint="eastAsia"/>
                <w:b/>
              </w:rPr>
              <w:t>金融管理的應用，</w:t>
            </w:r>
            <w:r w:rsidRPr="00574577">
              <w:rPr>
                <w:rFonts w:eastAsia="標楷體" w:hint="eastAsia"/>
                <w:b/>
              </w:rPr>
              <w:t xml:space="preserve">(3) </w:t>
            </w:r>
            <w:r w:rsidRPr="00574577">
              <w:rPr>
                <w:rFonts w:eastAsia="標楷體" w:hint="eastAsia"/>
                <w:b/>
              </w:rPr>
              <w:t>金融管理的進階。在各大類之中，又針對課程內容分為數</w:t>
            </w:r>
            <w:proofErr w:type="gramStart"/>
            <w:r w:rsidRPr="00574577">
              <w:rPr>
                <w:rFonts w:eastAsia="標楷體" w:hint="eastAsia"/>
                <w:b/>
              </w:rPr>
              <w:t>個</w:t>
            </w:r>
            <w:proofErr w:type="gramEnd"/>
            <w:r w:rsidRPr="00574577">
              <w:rPr>
                <w:rFonts w:eastAsia="標楷體" w:hint="eastAsia"/>
                <w:b/>
              </w:rPr>
              <w:t>細項。詳情如下：</w:t>
            </w:r>
          </w:p>
        </w:tc>
      </w:tr>
      <w:tr w:rsidR="007A3F5B" w:rsidRPr="00D02C0B" w:rsidTr="004A2B2D">
        <w:trPr>
          <w:tblHeader/>
          <w:jc w:val="center"/>
        </w:trPr>
        <w:tc>
          <w:tcPr>
            <w:tcW w:w="379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:rsidR="007A3F5B" w:rsidRPr="008F0FE1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課程分類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:rsidR="007A3F5B" w:rsidRPr="008F0FE1" w:rsidRDefault="007A3F5B" w:rsidP="004A2B2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金融管理學系課程名稱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 w:val="restart"/>
            <w:tcBorders>
              <w:top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A. 金融管理的基礎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A.1 數理邏輯</w:t>
            </w:r>
          </w:p>
        </w:tc>
        <w:tc>
          <w:tcPr>
            <w:tcW w:w="43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D02C0B">
              <w:rPr>
                <w:rFonts w:ascii="標楷體" w:eastAsia="標楷體" w:hAnsi="標楷體" w:hint="eastAsia"/>
              </w:rPr>
              <w:t>計量經濟學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A.2 會計資訊</w:t>
            </w:r>
          </w:p>
        </w:tc>
        <w:tc>
          <w:tcPr>
            <w:tcW w:w="43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財務報表分析</w:t>
            </w:r>
          </w:p>
        </w:tc>
        <w:tc>
          <w:tcPr>
            <w:tcW w:w="5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 w:val="restart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A.3 基礎能力培養</w:t>
            </w:r>
          </w:p>
        </w:tc>
        <w:tc>
          <w:tcPr>
            <w:tcW w:w="4369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D02C0B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財務理論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D02C0B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必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D02C0B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金融市場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A.4 法律與倫理</w:t>
            </w:r>
          </w:p>
        </w:tc>
        <w:tc>
          <w:tcPr>
            <w:tcW w:w="43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D02C0B">
              <w:rPr>
                <w:rFonts w:ascii="標楷體" w:eastAsia="標楷體" w:hAnsi="標楷體" w:hint="eastAsia"/>
              </w:rPr>
              <w:t>金融倫理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 w:val="restart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B. 金融管理的應用</w:t>
            </w:r>
          </w:p>
        </w:tc>
        <w:tc>
          <w:tcPr>
            <w:tcW w:w="2552" w:type="dxa"/>
            <w:vMerge w:val="restart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B.1 投資專業</w:t>
            </w:r>
          </w:p>
        </w:tc>
        <w:tc>
          <w:tcPr>
            <w:tcW w:w="4369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投資學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資產評價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保險學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行為財務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固定收益證券分析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不動產投資分析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證券分析與投資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B.2 理財能力</w:t>
            </w:r>
          </w:p>
        </w:tc>
        <w:tc>
          <w:tcPr>
            <w:tcW w:w="4369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公司理財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B.3 經濟分析應用</w:t>
            </w:r>
          </w:p>
        </w:tc>
        <w:tc>
          <w:tcPr>
            <w:tcW w:w="43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財務研究方法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bottom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B.4 會計資訊應用</w:t>
            </w:r>
          </w:p>
        </w:tc>
        <w:tc>
          <w:tcPr>
            <w:tcW w:w="43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會計實證研究</w:t>
            </w:r>
          </w:p>
        </w:tc>
        <w:tc>
          <w:tcPr>
            <w:tcW w:w="5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 w:val="restart"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C. 金融管理的進階</w:t>
            </w:r>
          </w:p>
        </w:tc>
        <w:tc>
          <w:tcPr>
            <w:tcW w:w="2552" w:type="dxa"/>
            <w:vMerge w:val="restart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C.1 金融創新</w:t>
            </w:r>
          </w:p>
        </w:tc>
        <w:tc>
          <w:tcPr>
            <w:tcW w:w="4369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期貨與選擇權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財務工程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實質選擇權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複利數學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EC32AE" w:rsidRDefault="007A3F5B" w:rsidP="004A2B2D">
            <w:pPr>
              <w:jc w:val="both"/>
              <w:rPr>
                <w:rFonts w:eastAsia="標楷體" w:hint="eastAsia"/>
              </w:rPr>
            </w:pPr>
            <w:r w:rsidRPr="00EC32AE">
              <w:rPr>
                <w:rFonts w:eastAsia="標楷體" w:hint="eastAsia"/>
              </w:rPr>
              <w:t>投資與風險管理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AF26B1">
              <w:rPr>
                <w:rFonts w:ascii="標楷體" w:eastAsia="標楷體" w:hAnsi="標楷體" w:hint="eastAsia"/>
                <w:color w:val="000000"/>
              </w:rPr>
              <w:t>計算財務</w:t>
            </w:r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 w:val="restart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C.2風險管理</w:t>
            </w:r>
          </w:p>
        </w:tc>
        <w:tc>
          <w:tcPr>
            <w:tcW w:w="4369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金融機構管理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</w:rPr>
            </w:pPr>
            <w:r w:rsidRPr="005D67B7">
              <w:rPr>
                <w:rFonts w:ascii="標楷體" w:eastAsia="標楷體" w:hAnsi="標楷體" w:hint="eastAsia"/>
              </w:rPr>
              <w:t>金融</w:t>
            </w:r>
            <w:hyperlink r:id="rId15" w:history="1">
              <w:r w:rsidRPr="008F0FE1">
                <w:rPr>
                  <w:rFonts w:ascii="標楷體" w:eastAsia="標楷體" w:hAnsi="標楷體"/>
                  <w:color w:val="000000"/>
                </w:rPr>
                <w:t>風險管理</w:t>
              </w:r>
            </w:hyperlink>
          </w:p>
        </w:tc>
        <w:tc>
          <w:tcPr>
            <w:tcW w:w="59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trHeight w:val="1780"/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 w:val="restart"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C.3 個案與專題</w:t>
            </w:r>
          </w:p>
        </w:tc>
        <w:tc>
          <w:tcPr>
            <w:tcW w:w="4369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財務專題研討(</w:t>
            </w:r>
            <w:proofErr w:type="gramStart"/>
            <w:r w:rsidRPr="008F0FE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8F0FE1">
              <w:rPr>
                <w:rFonts w:ascii="標楷體" w:eastAsia="標楷體" w:hAnsi="標楷體" w:hint="eastAsia"/>
                <w:color w:val="000000"/>
              </w:rPr>
              <w:t>)、</w:t>
            </w:r>
            <w:r>
              <w:rPr>
                <w:rFonts w:ascii="標楷體" w:eastAsia="標楷體" w:hAnsi="標楷體"/>
                <w:color w:val="000000"/>
              </w:rPr>
              <w:br/>
            </w:r>
            <w:r w:rsidRPr="008F0FE1">
              <w:rPr>
                <w:rFonts w:ascii="標楷體" w:eastAsia="標楷體" w:hAnsi="標楷體" w:hint="eastAsia"/>
                <w:color w:val="000000"/>
              </w:rPr>
              <w:t>財務專題研討(二)、</w:t>
            </w:r>
            <w:r>
              <w:rPr>
                <w:rFonts w:ascii="標楷體" w:eastAsia="標楷體" w:hAnsi="標楷體"/>
                <w:color w:val="000000"/>
              </w:rPr>
              <w:br/>
            </w:r>
            <w:r w:rsidRPr="008F0FE1">
              <w:rPr>
                <w:rFonts w:ascii="標楷體" w:eastAsia="標楷體" w:hAnsi="標楷體" w:hint="eastAsia"/>
                <w:color w:val="000000"/>
              </w:rPr>
              <w:t>財務專題研討(三)、</w:t>
            </w:r>
            <w:r>
              <w:rPr>
                <w:rFonts w:ascii="標楷體" w:eastAsia="標楷體" w:hAnsi="標楷體"/>
                <w:color w:val="000000"/>
              </w:rPr>
              <w:br/>
            </w:r>
            <w:r w:rsidRPr="008F0FE1">
              <w:rPr>
                <w:rFonts w:ascii="標楷體" w:eastAsia="標楷體" w:hAnsi="標楷體" w:hint="eastAsia"/>
                <w:color w:val="000000"/>
              </w:rPr>
              <w:t>財務專題研討(四)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7A3F5B" w:rsidRPr="00BA7B2D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FF0000"/>
              </w:rPr>
            </w:pPr>
            <w:r w:rsidRPr="00BA7B2D">
              <w:rPr>
                <w:rFonts w:ascii="標楷體" w:eastAsia="標楷體" w:hAnsi="標楷體" w:hint="eastAsia"/>
                <w:color w:val="FF0000"/>
              </w:rPr>
              <w:t>財金文獻導讀</w:t>
            </w:r>
          </w:p>
        </w:tc>
        <w:tc>
          <w:tcPr>
            <w:tcW w:w="59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:rsidR="007A3F5B" w:rsidRPr="00BA7B2D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BA7B2D">
              <w:rPr>
                <w:rFonts w:ascii="標楷體" w:eastAsia="標楷體" w:hAnsi="標楷體" w:hint="eastAsia"/>
                <w:color w:val="FF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5A7D4F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FF0000"/>
              </w:rPr>
            </w:pPr>
            <w:r w:rsidRPr="005A7D4F">
              <w:rPr>
                <w:rFonts w:ascii="標楷體" w:eastAsia="標楷體" w:hAnsi="標楷體" w:hint="eastAsia"/>
                <w:color w:val="FF0000"/>
              </w:rPr>
              <w:t>財務實證研究</w:t>
            </w:r>
          </w:p>
        </w:tc>
        <w:tc>
          <w:tcPr>
            <w:tcW w:w="59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5A7D4F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5A7D4F">
              <w:rPr>
                <w:rFonts w:ascii="標楷體" w:eastAsia="標楷體" w:hAnsi="標楷體" w:hint="eastAsia"/>
                <w:color w:val="FF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EF7C62" w:rsidRDefault="007A3F5B" w:rsidP="004A2B2D">
            <w:pPr>
              <w:snapToGrid w:val="0"/>
              <w:spacing w:line="440" w:lineRule="exact"/>
              <w:rPr>
                <w:rFonts w:ascii="標楷體" w:eastAsia="標楷體" w:hAnsi="標楷體" w:hint="eastAsia"/>
                <w:color w:val="FF0000"/>
              </w:rPr>
            </w:pPr>
            <w:r w:rsidRPr="00EF7C62">
              <w:rPr>
                <w:rFonts w:ascii="標楷體" w:eastAsia="標楷體" w:hAnsi="標楷體" w:hint="eastAsia"/>
                <w:color w:val="FF0000"/>
              </w:rPr>
              <w:t>財務金融實習</w:t>
            </w:r>
          </w:p>
        </w:tc>
        <w:tc>
          <w:tcPr>
            <w:tcW w:w="59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EF7C62" w:rsidRDefault="007A3F5B" w:rsidP="004A2B2D">
            <w:pPr>
              <w:snapToGrid w:val="0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EF7C62">
              <w:rPr>
                <w:rFonts w:ascii="標楷體" w:eastAsia="標楷體" w:hAnsi="標楷體" w:hint="eastAsia"/>
                <w:color w:val="FF0000"/>
              </w:rPr>
              <w:t>選</w:t>
            </w:r>
          </w:p>
        </w:tc>
      </w:tr>
      <w:tr w:rsidR="007A3F5B" w:rsidRPr="00D02C0B" w:rsidTr="004A2B2D">
        <w:trPr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69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不對稱訊息之金融市場</w:t>
            </w:r>
          </w:p>
        </w:tc>
        <w:tc>
          <w:tcPr>
            <w:tcW w:w="59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</w:tr>
      <w:tr w:rsidR="007A3F5B" w:rsidRPr="00D02C0B" w:rsidTr="004A2B2D">
        <w:trPr>
          <w:trHeight w:val="483"/>
          <w:jc w:val="center"/>
        </w:trPr>
        <w:tc>
          <w:tcPr>
            <w:tcW w:w="124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doub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/>
                <w:color w:val="000000"/>
              </w:rPr>
              <w:t>C.4國際資訊</w:t>
            </w:r>
          </w:p>
        </w:tc>
        <w:tc>
          <w:tcPr>
            <w:tcW w:w="4369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A3F5B" w:rsidRPr="008F0FE1" w:rsidRDefault="007A3F5B" w:rsidP="004A2B2D">
            <w:pPr>
              <w:snapToGrid w:val="0"/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8F0FE1">
              <w:rPr>
                <w:rFonts w:ascii="標楷體" w:eastAsia="標楷體" w:hAnsi="標楷體" w:hint="eastAsia"/>
                <w:color w:val="000000"/>
              </w:rPr>
              <w:t>國際財務管理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A3F5B" w:rsidRPr="008F0FE1" w:rsidRDefault="007A3F5B" w:rsidP="004A2B2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</w:tr>
    </w:tbl>
    <w:p w:rsidR="007A3F5B" w:rsidRDefault="007A3F5B" w:rsidP="007A3F5B">
      <w:pPr>
        <w:snapToGrid w:val="0"/>
        <w:jc w:val="center"/>
        <w:rPr>
          <w:b/>
        </w:rPr>
      </w:pPr>
    </w:p>
    <w:p w:rsidR="00C52CD1" w:rsidRDefault="00C52CD1">
      <w:bookmarkStart w:id="0" w:name="_GoBack"/>
      <w:bookmarkEnd w:id="0"/>
    </w:p>
    <w:sectPr w:rsidR="00C52C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B260B"/>
    <w:multiLevelType w:val="hybridMultilevel"/>
    <w:tmpl w:val="E9EE0B52"/>
    <w:lvl w:ilvl="0" w:tplc="C75CB894">
      <w:start w:val="1"/>
      <w:numFmt w:val="decimal"/>
      <w:lvlText w:val="表1-%1"/>
      <w:lvlJc w:val="left"/>
      <w:pPr>
        <w:ind w:left="960" w:hanging="480"/>
      </w:pPr>
      <w:rPr>
        <w:rFonts w:hint="eastAsia"/>
      </w:rPr>
    </w:lvl>
    <w:lvl w:ilvl="1" w:tplc="C95A11BA">
      <w:start w:val="1"/>
      <w:numFmt w:val="decimal"/>
      <w:pStyle w:val="1"/>
      <w:lvlText w:val="表1-%2"/>
      <w:lvlJc w:val="left"/>
      <w:pPr>
        <w:ind w:left="274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F5B"/>
    <w:rsid w:val="00000992"/>
    <w:rsid w:val="00005655"/>
    <w:rsid w:val="00005A95"/>
    <w:rsid w:val="00006414"/>
    <w:rsid w:val="0000664C"/>
    <w:rsid w:val="00011847"/>
    <w:rsid w:val="00020E56"/>
    <w:rsid w:val="00021912"/>
    <w:rsid w:val="000318B4"/>
    <w:rsid w:val="0003357A"/>
    <w:rsid w:val="00035E25"/>
    <w:rsid w:val="00045C04"/>
    <w:rsid w:val="00047F70"/>
    <w:rsid w:val="000549CC"/>
    <w:rsid w:val="000677D2"/>
    <w:rsid w:val="00071056"/>
    <w:rsid w:val="00074F43"/>
    <w:rsid w:val="000754F9"/>
    <w:rsid w:val="00082A45"/>
    <w:rsid w:val="00086A53"/>
    <w:rsid w:val="00086F03"/>
    <w:rsid w:val="00087ED1"/>
    <w:rsid w:val="000A3374"/>
    <w:rsid w:val="000A68F1"/>
    <w:rsid w:val="000B5509"/>
    <w:rsid w:val="000C5968"/>
    <w:rsid w:val="000C791D"/>
    <w:rsid w:val="000D0DEF"/>
    <w:rsid w:val="000D3FE4"/>
    <w:rsid w:val="000D511C"/>
    <w:rsid w:val="000E2A30"/>
    <w:rsid w:val="000E7137"/>
    <w:rsid w:val="000F40AE"/>
    <w:rsid w:val="000F4C31"/>
    <w:rsid w:val="001008B8"/>
    <w:rsid w:val="001026DD"/>
    <w:rsid w:val="00104D64"/>
    <w:rsid w:val="00105573"/>
    <w:rsid w:val="001061F9"/>
    <w:rsid w:val="0010685A"/>
    <w:rsid w:val="00115CF4"/>
    <w:rsid w:val="001205C3"/>
    <w:rsid w:val="00120B0D"/>
    <w:rsid w:val="00126880"/>
    <w:rsid w:val="00126FA0"/>
    <w:rsid w:val="00132E6B"/>
    <w:rsid w:val="001376DC"/>
    <w:rsid w:val="001400C5"/>
    <w:rsid w:val="00143E3A"/>
    <w:rsid w:val="00151704"/>
    <w:rsid w:val="00157867"/>
    <w:rsid w:val="00160933"/>
    <w:rsid w:val="00161C6B"/>
    <w:rsid w:val="00161DA4"/>
    <w:rsid w:val="001665DA"/>
    <w:rsid w:val="00167B83"/>
    <w:rsid w:val="00173270"/>
    <w:rsid w:val="001753BA"/>
    <w:rsid w:val="00177FC9"/>
    <w:rsid w:val="00181516"/>
    <w:rsid w:val="00183345"/>
    <w:rsid w:val="00184A3A"/>
    <w:rsid w:val="00186AB2"/>
    <w:rsid w:val="001A0AF6"/>
    <w:rsid w:val="001A4F5E"/>
    <w:rsid w:val="001A558F"/>
    <w:rsid w:val="001B26C8"/>
    <w:rsid w:val="001B5983"/>
    <w:rsid w:val="001B69F4"/>
    <w:rsid w:val="001B7AED"/>
    <w:rsid w:val="001B7E9E"/>
    <w:rsid w:val="001C00BA"/>
    <w:rsid w:val="001C4EA1"/>
    <w:rsid w:val="001C6B18"/>
    <w:rsid w:val="001C7180"/>
    <w:rsid w:val="001C7577"/>
    <w:rsid w:val="001D3E9A"/>
    <w:rsid w:val="001D500F"/>
    <w:rsid w:val="001E2593"/>
    <w:rsid w:val="001E69F7"/>
    <w:rsid w:val="001E73FD"/>
    <w:rsid w:val="001F130B"/>
    <w:rsid w:val="001F1AC6"/>
    <w:rsid w:val="001F50DC"/>
    <w:rsid w:val="001F7B49"/>
    <w:rsid w:val="002020C0"/>
    <w:rsid w:val="0021068C"/>
    <w:rsid w:val="00212BAA"/>
    <w:rsid w:val="00215A64"/>
    <w:rsid w:val="00226684"/>
    <w:rsid w:val="002305D7"/>
    <w:rsid w:val="002407F2"/>
    <w:rsid w:val="0024497E"/>
    <w:rsid w:val="0024521D"/>
    <w:rsid w:val="00245F7F"/>
    <w:rsid w:val="00260C40"/>
    <w:rsid w:val="00263D11"/>
    <w:rsid w:val="00265EE9"/>
    <w:rsid w:val="002710C6"/>
    <w:rsid w:val="00272780"/>
    <w:rsid w:val="002754ED"/>
    <w:rsid w:val="00276CFA"/>
    <w:rsid w:val="002803D9"/>
    <w:rsid w:val="00286350"/>
    <w:rsid w:val="00286392"/>
    <w:rsid w:val="00286693"/>
    <w:rsid w:val="00290735"/>
    <w:rsid w:val="00290ECE"/>
    <w:rsid w:val="002A0E56"/>
    <w:rsid w:val="002A76F1"/>
    <w:rsid w:val="002C4801"/>
    <w:rsid w:val="002C4C97"/>
    <w:rsid w:val="002D4664"/>
    <w:rsid w:val="002E35EA"/>
    <w:rsid w:val="002E40BF"/>
    <w:rsid w:val="002F0052"/>
    <w:rsid w:val="002F0679"/>
    <w:rsid w:val="002F1144"/>
    <w:rsid w:val="002F2124"/>
    <w:rsid w:val="002F37E1"/>
    <w:rsid w:val="002F4F14"/>
    <w:rsid w:val="002F75C8"/>
    <w:rsid w:val="00302B39"/>
    <w:rsid w:val="003057DF"/>
    <w:rsid w:val="00321BA5"/>
    <w:rsid w:val="00323E30"/>
    <w:rsid w:val="00333B76"/>
    <w:rsid w:val="00337448"/>
    <w:rsid w:val="00341036"/>
    <w:rsid w:val="00344404"/>
    <w:rsid w:val="003473E8"/>
    <w:rsid w:val="00351C98"/>
    <w:rsid w:val="00353ED4"/>
    <w:rsid w:val="00354368"/>
    <w:rsid w:val="003546C3"/>
    <w:rsid w:val="0035781C"/>
    <w:rsid w:val="003668A4"/>
    <w:rsid w:val="00370D01"/>
    <w:rsid w:val="0037480B"/>
    <w:rsid w:val="003806CE"/>
    <w:rsid w:val="00382F38"/>
    <w:rsid w:val="00383CE3"/>
    <w:rsid w:val="0038654A"/>
    <w:rsid w:val="00386551"/>
    <w:rsid w:val="003876B4"/>
    <w:rsid w:val="00387DA5"/>
    <w:rsid w:val="0039558B"/>
    <w:rsid w:val="0039620A"/>
    <w:rsid w:val="003A15A8"/>
    <w:rsid w:val="003A3D91"/>
    <w:rsid w:val="003A4776"/>
    <w:rsid w:val="003B0926"/>
    <w:rsid w:val="003B1DDD"/>
    <w:rsid w:val="003B45D9"/>
    <w:rsid w:val="003B6808"/>
    <w:rsid w:val="003C257F"/>
    <w:rsid w:val="003C37B2"/>
    <w:rsid w:val="003D09A6"/>
    <w:rsid w:val="003D2147"/>
    <w:rsid w:val="003D334D"/>
    <w:rsid w:val="003E27C6"/>
    <w:rsid w:val="003E2D76"/>
    <w:rsid w:val="003E2E06"/>
    <w:rsid w:val="003E3031"/>
    <w:rsid w:val="003E59EC"/>
    <w:rsid w:val="003E5B11"/>
    <w:rsid w:val="003F40D1"/>
    <w:rsid w:val="00401A39"/>
    <w:rsid w:val="004024BC"/>
    <w:rsid w:val="00405780"/>
    <w:rsid w:val="00405B09"/>
    <w:rsid w:val="00411036"/>
    <w:rsid w:val="00417034"/>
    <w:rsid w:val="004319DF"/>
    <w:rsid w:val="00436354"/>
    <w:rsid w:val="00437022"/>
    <w:rsid w:val="004374B4"/>
    <w:rsid w:val="0044221A"/>
    <w:rsid w:val="0044569A"/>
    <w:rsid w:val="00452D46"/>
    <w:rsid w:val="00454136"/>
    <w:rsid w:val="004558C8"/>
    <w:rsid w:val="00465AF3"/>
    <w:rsid w:val="00467EC4"/>
    <w:rsid w:val="0047729C"/>
    <w:rsid w:val="00484FC3"/>
    <w:rsid w:val="00485A57"/>
    <w:rsid w:val="00494A93"/>
    <w:rsid w:val="004A1C09"/>
    <w:rsid w:val="004B100E"/>
    <w:rsid w:val="004C01D9"/>
    <w:rsid w:val="004C13D4"/>
    <w:rsid w:val="004D01DA"/>
    <w:rsid w:val="004D46F3"/>
    <w:rsid w:val="004E0CA2"/>
    <w:rsid w:val="004E4D5E"/>
    <w:rsid w:val="004F27FC"/>
    <w:rsid w:val="00502BE4"/>
    <w:rsid w:val="00503050"/>
    <w:rsid w:val="005108BE"/>
    <w:rsid w:val="00512526"/>
    <w:rsid w:val="0051437E"/>
    <w:rsid w:val="005150FB"/>
    <w:rsid w:val="00516032"/>
    <w:rsid w:val="005170B2"/>
    <w:rsid w:val="00517EBC"/>
    <w:rsid w:val="00525756"/>
    <w:rsid w:val="005269F8"/>
    <w:rsid w:val="00526CD7"/>
    <w:rsid w:val="00541505"/>
    <w:rsid w:val="00541A2A"/>
    <w:rsid w:val="00546BC1"/>
    <w:rsid w:val="005471CA"/>
    <w:rsid w:val="00552112"/>
    <w:rsid w:val="005701A3"/>
    <w:rsid w:val="005716F0"/>
    <w:rsid w:val="0058032B"/>
    <w:rsid w:val="0058445E"/>
    <w:rsid w:val="00584A15"/>
    <w:rsid w:val="00584B1C"/>
    <w:rsid w:val="005854AE"/>
    <w:rsid w:val="00590341"/>
    <w:rsid w:val="00592AB6"/>
    <w:rsid w:val="00592E31"/>
    <w:rsid w:val="0059545C"/>
    <w:rsid w:val="005968FE"/>
    <w:rsid w:val="005A2244"/>
    <w:rsid w:val="005A36E4"/>
    <w:rsid w:val="005A4006"/>
    <w:rsid w:val="005B1C4E"/>
    <w:rsid w:val="005B3045"/>
    <w:rsid w:val="005B305F"/>
    <w:rsid w:val="005B4DF5"/>
    <w:rsid w:val="005B5282"/>
    <w:rsid w:val="005D058D"/>
    <w:rsid w:val="005D1781"/>
    <w:rsid w:val="005D26B5"/>
    <w:rsid w:val="005D463A"/>
    <w:rsid w:val="005D624F"/>
    <w:rsid w:val="005E1595"/>
    <w:rsid w:val="005E28F2"/>
    <w:rsid w:val="005F282F"/>
    <w:rsid w:val="005F6494"/>
    <w:rsid w:val="00604C67"/>
    <w:rsid w:val="00610174"/>
    <w:rsid w:val="00612432"/>
    <w:rsid w:val="0061551F"/>
    <w:rsid w:val="00624D99"/>
    <w:rsid w:val="00625C23"/>
    <w:rsid w:val="006279BF"/>
    <w:rsid w:val="00631857"/>
    <w:rsid w:val="00636189"/>
    <w:rsid w:val="006361E4"/>
    <w:rsid w:val="00644008"/>
    <w:rsid w:val="006515C1"/>
    <w:rsid w:val="00653D72"/>
    <w:rsid w:val="00657EC7"/>
    <w:rsid w:val="006641E6"/>
    <w:rsid w:val="00673C04"/>
    <w:rsid w:val="00684540"/>
    <w:rsid w:val="006915FC"/>
    <w:rsid w:val="00693BF0"/>
    <w:rsid w:val="006957C3"/>
    <w:rsid w:val="006A0705"/>
    <w:rsid w:val="006A2BE1"/>
    <w:rsid w:val="006A43EE"/>
    <w:rsid w:val="006A48BE"/>
    <w:rsid w:val="006A71B0"/>
    <w:rsid w:val="006B1787"/>
    <w:rsid w:val="006B208B"/>
    <w:rsid w:val="006B3F87"/>
    <w:rsid w:val="006B5236"/>
    <w:rsid w:val="006B646D"/>
    <w:rsid w:val="006C11AE"/>
    <w:rsid w:val="006D7BA6"/>
    <w:rsid w:val="006E4981"/>
    <w:rsid w:val="006F6B5E"/>
    <w:rsid w:val="007011C5"/>
    <w:rsid w:val="00702C92"/>
    <w:rsid w:val="00706C27"/>
    <w:rsid w:val="00712C1C"/>
    <w:rsid w:val="007138E6"/>
    <w:rsid w:val="00715462"/>
    <w:rsid w:val="007167CC"/>
    <w:rsid w:val="007173DA"/>
    <w:rsid w:val="00717B19"/>
    <w:rsid w:val="0072063A"/>
    <w:rsid w:val="007206DC"/>
    <w:rsid w:val="00723B60"/>
    <w:rsid w:val="007309DB"/>
    <w:rsid w:val="007315C7"/>
    <w:rsid w:val="0073233E"/>
    <w:rsid w:val="00734025"/>
    <w:rsid w:val="0073580C"/>
    <w:rsid w:val="00746528"/>
    <w:rsid w:val="00746A65"/>
    <w:rsid w:val="0075718B"/>
    <w:rsid w:val="00764523"/>
    <w:rsid w:val="00764D4F"/>
    <w:rsid w:val="0076621B"/>
    <w:rsid w:val="00766EAF"/>
    <w:rsid w:val="0077093F"/>
    <w:rsid w:val="00771EE8"/>
    <w:rsid w:val="00772674"/>
    <w:rsid w:val="00775416"/>
    <w:rsid w:val="007824AB"/>
    <w:rsid w:val="00784809"/>
    <w:rsid w:val="00791CE8"/>
    <w:rsid w:val="00792C2F"/>
    <w:rsid w:val="0079540F"/>
    <w:rsid w:val="00796E63"/>
    <w:rsid w:val="007A046B"/>
    <w:rsid w:val="007A0D54"/>
    <w:rsid w:val="007A3F5B"/>
    <w:rsid w:val="007A54A1"/>
    <w:rsid w:val="007A5B6B"/>
    <w:rsid w:val="007A6861"/>
    <w:rsid w:val="007B1D75"/>
    <w:rsid w:val="007B3522"/>
    <w:rsid w:val="007B3875"/>
    <w:rsid w:val="007B650B"/>
    <w:rsid w:val="007C73B1"/>
    <w:rsid w:val="007D50C6"/>
    <w:rsid w:val="007D73D7"/>
    <w:rsid w:val="007E2B7A"/>
    <w:rsid w:val="007E444B"/>
    <w:rsid w:val="007F14ED"/>
    <w:rsid w:val="007F52F6"/>
    <w:rsid w:val="007F73C1"/>
    <w:rsid w:val="00803389"/>
    <w:rsid w:val="00806C6B"/>
    <w:rsid w:val="008203AC"/>
    <w:rsid w:val="008261F4"/>
    <w:rsid w:val="00832A4B"/>
    <w:rsid w:val="00833646"/>
    <w:rsid w:val="00834A68"/>
    <w:rsid w:val="00834BEF"/>
    <w:rsid w:val="0085142B"/>
    <w:rsid w:val="008563DC"/>
    <w:rsid w:val="008565D0"/>
    <w:rsid w:val="00860545"/>
    <w:rsid w:val="00861F47"/>
    <w:rsid w:val="00866929"/>
    <w:rsid w:val="0086782B"/>
    <w:rsid w:val="00871CBE"/>
    <w:rsid w:val="00875196"/>
    <w:rsid w:val="0088202C"/>
    <w:rsid w:val="00883138"/>
    <w:rsid w:val="008909DA"/>
    <w:rsid w:val="00891CFB"/>
    <w:rsid w:val="0089350A"/>
    <w:rsid w:val="00893D50"/>
    <w:rsid w:val="0089766B"/>
    <w:rsid w:val="00897782"/>
    <w:rsid w:val="008B4AA2"/>
    <w:rsid w:val="008B5D6A"/>
    <w:rsid w:val="008C1362"/>
    <w:rsid w:val="008C13B0"/>
    <w:rsid w:val="008C1701"/>
    <w:rsid w:val="008C42D1"/>
    <w:rsid w:val="008E0D08"/>
    <w:rsid w:val="008F1526"/>
    <w:rsid w:val="008F3CE3"/>
    <w:rsid w:val="008F5CE7"/>
    <w:rsid w:val="00901F53"/>
    <w:rsid w:val="00902368"/>
    <w:rsid w:val="00903A5F"/>
    <w:rsid w:val="00904830"/>
    <w:rsid w:val="00906B51"/>
    <w:rsid w:val="00907B99"/>
    <w:rsid w:val="00911404"/>
    <w:rsid w:val="00914631"/>
    <w:rsid w:val="00916A5D"/>
    <w:rsid w:val="00921E93"/>
    <w:rsid w:val="00922481"/>
    <w:rsid w:val="0092637B"/>
    <w:rsid w:val="00931FB4"/>
    <w:rsid w:val="009337CB"/>
    <w:rsid w:val="00944003"/>
    <w:rsid w:val="00944426"/>
    <w:rsid w:val="00950941"/>
    <w:rsid w:val="00954CB6"/>
    <w:rsid w:val="00962D17"/>
    <w:rsid w:val="0096427D"/>
    <w:rsid w:val="0096641A"/>
    <w:rsid w:val="00975B35"/>
    <w:rsid w:val="00980945"/>
    <w:rsid w:val="00982935"/>
    <w:rsid w:val="0098661C"/>
    <w:rsid w:val="009938DD"/>
    <w:rsid w:val="00994F8B"/>
    <w:rsid w:val="00996B3B"/>
    <w:rsid w:val="00997F23"/>
    <w:rsid w:val="009B0D05"/>
    <w:rsid w:val="009B31BB"/>
    <w:rsid w:val="009C0796"/>
    <w:rsid w:val="009C0FCF"/>
    <w:rsid w:val="009C118C"/>
    <w:rsid w:val="009C1CA3"/>
    <w:rsid w:val="009C251D"/>
    <w:rsid w:val="009C2C1C"/>
    <w:rsid w:val="009D17B3"/>
    <w:rsid w:val="009D27F4"/>
    <w:rsid w:val="009D2B62"/>
    <w:rsid w:val="009E11B3"/>
    <w:rsid w:val="009E4C98"/>
    <w:rsid w:val="009E4DC7"/>
    <w:rsid w:val="009E6FB3"/>
    <w:rsid w:val="009F01BA"/>
    <w:rsid w:val="009F44CB"/>
    <w:rsid w:val="009F6986"/>
    <w:rsid w:val="00A0249D"/>
    <w:rsid w:val="00A0744B"/>
    <w:rsid w:val="00A30288"/>
    <w:rsid w:val="00A30BBE"/>
    <w:rsid w:val="00A42774"/>
    <w:rsid w:val="00A43EE5"/>
    <w:rsid w:val="00A5073B"/>
    <w:rsid w:val="00A50D54"/>
    <w:rsid w:val="00A51FED"/>
    <w:rsid w:val="00A54706"/>
    <w:rsid w:val="00A77A06"/>
    <w:rsid w:val="00A83EE1"/>
    <w:rsid w:val="00A86AA1"/>
    <w:rsid w:val="00A90073"/>
    <w:rsid w:val="00A90E81"/>
    <w:rsid w:val="00A92CC4"/>
    <w:rsid w:val="00A9409F"/>
    <w:rsid w:val="00AA24F9"/>
    <w:rsid w:val="00AA295D"/>
    <w:rsid w:val="00AA2E3C"/>
    <w:rsid w:val="00AB29F1"/>
    <w:rsid w:val="00AC3333"/>
    <w:rsid w:val="00AC3808"/>
    <w:rsid w:val="00AC3DAA"/>
    <w:rsid w:val="00AD6977"/>
    <w:rsid w:val="00AD7C2F"/>
    <w:rsid w:val="00AE7380"/>
    <w:rsid w:val="00AF296D"/>
    <w:rsid w:val="00AF44CD"/>
    <w:rsid w:val="00AF48C7"/>
    <w:rsid w:val="00B01817"/>
    <w:rsid w:val="00B10217"/>
    <w:rsid w:val="00B116C3"/>
    <w:rsid w:val="00B165EF"/>
    <w:rsid w:val="00B2015A"/>
    <w:rsid w:val="00B23176"/>
    <w:rsid w:val="00B32AE0"/>
    <w:rsid w:val="00B343FD"/>
    <w:rsid w:val="00B34E57"/>
    <w:rsid w:val="00B3591D"/>
    <w:rsid w:val="00B40B98"/>
    <w:rsid w:val="00B430AA"/>
    <w:rsid w:val="00B517AC"/>
    <w:rsid w:val="00B522FD"/>
    <w:rsid w:val="00B52337"/>
    <w:rsid w:val="00B52A7F"/>
    <w:rsid w:val="00B53615"/>
    <w:rsid w:val="00B55629"/>
    <w:rsid w:val="00B627F2"/>
    <w:rsid w:val="00B637D9"/>
    <w:rsid w:val="00B66D64"/>
    <w:rsid w:val="00B66F7E"/>
    <w:rsid w:val="00B71C3A"/>
    <w:rsid w:val="00B762A3"/>
    <w:rsid w:val="00B82DE6"/>
    <w:rsid w:val="00B85467"/>
    <w:rsid w:val="00B87B32"/>
    <w:rsid w:val="00B9033C"/>
    <w:rsid w:val="00BA12FA"/>
    <w:rsid w:val="00BA19E0"/>
    <w:rsid w:val="00BA204E"/>
    <w:rsid w:val="00BA5AD8"/>
    <w:rsid w:val="00BB10F3"/>
    <w:rsid w:val="00BB3643"/>
    <w:rsid w:val="00BB6C5A"/>
    <w:rsid w:val="00BC1A91"/>
    <w:rsid w:val="00BC2E6F"/>
    <w:rsid w:val="00BC528A"/>
    <w:rsid w:val="00BC7CBC"/>
    <w:rsid w:val="00BD10FD"/>
    <w:rsid w:val="00BD1D09"/>
    <w:rsid w:val="00BD3A92"/>
    <w:rsid w:val="00BE4071"/>
    <w:rsid w:val="00BE4385"/>
    <w:rsid w:val="00BE515F"/>
    <w:rsid w:val="00BF03D9"/>
    <w:rsid w:val="00BF13D3"/>
    <w:rsid w:val="00BF7590"/>
    <w:rsid w:val="00C010BF"/>
    <w:rsid w:val="00C04048"/>
    <w:rsid w:val="00C05B24"/>
    <w:rsid w:val="00C10587"/>
    <w:rsid w:val="00C12031"/>
    <w:rsid w:val="00C12B92"/>
    <w:rsid w:val="00C136A0"/>
    <w:rsid w:val="00C17728"/>
    <w:rsid w:val="00C17B9C"/>
    <w:rsid w:val="00C20353"/>
    <w:rsid w:val="00C32C7E"/>
    <w:rsid w:val="00C352CB"/>
    <w:rsid w:val="00C42BA1"/>
    <w:rsid w:val="00C43076"/>
    <w:rsid w:val="00C454A5"/>
    <w:rsid w:val="00C456F0"/>
    <w:rsid w:val="00C4658B"/>
    <w:rsid w:val="00C5149B"/>
    <w:rsid w:val="00C52CD1"/>
    <w:rsid w:val="00C5444D"/>
    <w:rsid w:val="00C5458B"/>
    <w:rsid w:val="00C553A1"/>
    <w:rsid w:val="00C5569E"/>
    <w:rsid w:val="00C61C11"/>
    <w:rsid w:val="00C623CF"/>
    <w:rsid w:val="00C702B5"/>
    <w:rsid w:val="00C71FDC"/>
    <w:rsid w:val="00C72348"/>
    <w:rsid w:val="00C77541"/>
    <w:rsid w:val="00C77799"/>
    <w:rsid w:val="00C81026"/>
    <w:rsid w:val="00C815F5"/>
    <w:rsid w:val="00C82B10"/>
    <w:rsid w:val="00C82EFE"/>
    <w:rsid w:val="00C91263"/>
    <w:rsid w:val="00C96204"/>
    <w:rsid w:val="00CA08C5"/>
    <w:rsid w:val="00CA2F7D"/>
    <w:rsid w:val="00CA4C6A"/>
    <w:rsid w:val="00CB06C0"/>
    <w:rsid w:val="00CB0B9F"/>
    <w:rsid w:val="00CB7347"/>
    <w:rsid w:val="00CC44FD"/>
    <w:rsid w:val="00CC7430"/>
    <w:rsid w:val="00CD1DC0"/>
    <w:rsid w:val="00CD540B"/>
    <w:rsid w:val="00CD791C"/>
    <w:rsid w:val="00CE1109"/>
    <w:rsid w:val="00CE1DAC"/>
    <w:rsid w:val="00CE3740"/>
    <w:rsid w:val="00CE3D4C"/>
    <w:rsid w:val="00CF0955"/>
    <w:rsid w:val="00CF0F3E"/>
    <w:rsid w:val="00CF20A0"/>
    <w:rsid w:val="00CF410F"/>
    <w:rsid w:val="00CF4B9A"/>
    <w:rsid w:val="00D001E6"/>
    <w:rsid w:val="00D05871"/>
    <w:rsid w:val="00D06395"/>
    <w:rsid w:val="00D11B41"/>
    <w:rsid w:val="00D126EA"/>
    <w:rsid w:val="00D12739"/>
    <w:rsid w:val="00D14557"/>
    <w:rsid w:val="00D145E8"/>
    <w:rsid w:val="00D16869"/>
    <w:rsid w:val="00D237EC"/>
    <w:rsid w:val="00D26DF5"/>
    <w:rsid w:val="00D32322"/>
    <w:rsid w:val="00D32EAF"/>
    <w:rsid w:val="00D427C8"/>
    <w:rsid w:val="00D47525"/>
    <w:rsid w:val="00D56FF8"/>
    <w:rsid w:val="00D66A00"/>
    <w:rsid w:val="00D679E0"/>
    <w:rsid w:val="00D72126"/>
    <w:rsid w:val="00D7524E"/>
    <w:rsid w:val="00D75732"/>
    <w:rsid w:val="00D7669A"/>
    <w:rsid w:val="00D80509"/>
    <w:rsid w:val="00D826F9"/>
    <w:rsid w:val="00D83233"/>
    <w:rsid w:val="00D90910"/>
    <w:rsid w:val="00D91BEF"/>
    <w:rsid w:val="00D926B6"/>
    <w:rsid w:val="00D931F1"/>
    <w:rsid w:val="00D949EB"/>
    <w:rsid w:val="00D97097"/>
    <w:rsid w:val="00DA05B4"/>
    <w:rsid w:val="00DA58D6"/>
    <w:rsid w:val="00DC4050"/>
    <w:rsid w:val="00DC683B"/>
    <w:rsid w:val="00DC6C3B"/>
    <w:rsid w:val="00DD0CFC"/>
    <w:rsid w:val="00DD13E4"/>
    <w:rsid w:val="00DD2676"/>
    <w:rsid w:val="00DD7668"/>
    <w:rsid w:val="00DE3213"/>
    <w:rsid w:val="00DF011E"/>
    <w:rsid w:val="00DF399E"/>
    <w:rsid w:val="00DF54CE"/>
    <w:rsid w:val="00DF7964"/>
    <w:rsid w:val="00DF7F79"/>
    <w:rsid w:val="00E011B9"/>
    <w:rsid w:val="00E103A3"/>
    <w:rsid w:val="00E14935"/>
    <w:rsid w:val="00E16721"/>
    <w:rsid w:val="00E1752F"/>
    <w:rsid w:val="00E1783A"/>
    <w:rsid w:val="00E23601"/>
    <w:rsid w:val="00E2494F"/>
    <w:rsid w:val="00E30D1E"/>
    <w:rsid w:val="00E32FB3"/>
    <w:rsid w:val="00E43E1A"/>
    <w:rsid w:val="00E45E5C"/>
    <w:rsid w:val="00E5033F"/>
    <w:rsid w:val="00E572BE"/>
    <w:rsid w:val="00E577BF"/>
    <w:rsid w:val="00E72B32"/>
    <w:rsid w:val="00E7635B"/>
    <w:rsid w:val="00E7704E"/>
    <w:rsid w:val="00E82C78"/>
    <w:rsid w:val="00E83C0A"/>
    <w:rsid w:val="00E8418B"/>
    <w:rsid w:val="00E85531"/>
    <w:rsid w:val="00E87EC6"/>
    <w:rsid w:val="00E90302"/>
    <w:rsid w:val="00E962AD"/>
    <w:rsid w:val="00E96B43"/>
    <w:rsid w:val="00EA1175"/>
    <w:rsid w:val="00EA30F4"/>
    <w:rsid w:val="00EA6964"/>
    <w:rsid w:val="00EA7E56"/>
    <w:rsid w:val="00EB4FB8"/>
    <w:rsid w:val="00EC0288"/>
    <w:rsid w:val="00EC763C"/>
    <w:rsid w:val="00ED204D"/>
    <w:rsid w:val="00ED552E"/>
    <w:rsid w:val="00ED5988"/>
    <w:rsid w:val="00ED5EC3"/>
    <w:rsid w:val="00EE5384"/>
    <w:rsid w:val="00EF1BF6"/>
    <w:rsid w:val="00EF3DCF"/>
    <w:rsid w:val="00EF4482"/>
    <w:rsid w:val="00EF62FB"/>
    <w:rsid w:val="00F000C6"/>
    <w:rsid w:val="00F001FA"/>
    <w:rsid w:val="00F0726D"/>
    <w:rsid w:val="00F16B19"/>
    <w:rsid w:val="00F24B49"/>
    <w:rsid w:val="00F34B0E"/>
    <w:rsid w:val="00F35FAB"/>
    <w:rsid w:val="00F433C7"/>
    <w:rsid w:val="00F4756D"/>
    <w:rsid w:val="00F55CF7"/>
    <w:rsid w:val="00F56C2B"/>
    <w:rsid w:val="00F600DB"/>
    <w:rsid w:val="00F63590"/>
    <w:rsid w:val="00F639BB"/>
    <w:rsid w:val="00F66184"/>
    <w:rsid w:val="00F66569"/>
    <w:rsid w:val="00F71517"/>
    <w:rsid w:val="00F73B88"/>
    <w:rsid w:val="00F75CC1"/>
    <w:rsid w:val="00F819D5"/>
    <w:rsid w:val="00F84DC5"/>
    <w:rsid w:val="00F9059C"/>
    <w:rsid w:val="00FA0CDB"/>
    <w:rsid w:val="00FB12A7"/>
    <w:rsid w:val="00FB2D1B"/>
    <w:rsid w:val="00FB2E77"/>
    <w:rsid w:val="00FB5E7A"/>
    <w:rsid w:val="00FC2D73"/>
    <w:rsid w:val="00FC392F"/>
    <w:rsid w:val="00FC4929"/>
    <w:rsid w:val="00FD3A7A"/>
    <w:rsid w:val="00FD4C08"/>
    <w:rsid w:val="00FD6BBD"/>
    <w:rsid w:val="00FD776D"/>
    <w:rsid w:val="00FD7D7D"/>
    <w:rsid w:val="00FE538F"/>
    <w:rsid w:val="00FF1429"/>
    <w:rsid w:val="00FF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5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表1"/>
    <w:basedOn w:val="a3"/>
    <w:qFormat/>
    <w:rsid w:val="007A3F5B"/>
    <w:pPr>
      <w:numPr>
        <w:ilvl w:val="1"/>
        <w:numId w:val="1"/>
      </w:numPr>
      <w:tabs>
        <w:tab w:val="num" w:pos="360"/>
      </w:tabs>
      <w:snapToGrid w:val="0"/>
      <w:spacing w:line="440" w:lineRule="exact"/>
      <w:ind w:leftChars="0" w:left="960" w:firstLine="0"/>
      <w:jc w:val="center"/>
    </w:pPr>
    <w:rPr>
      <w:rFonts w:ascii="Calibri" w:eastAsia="標楷體" w:hAnsi="Calibri"/>
      <w:noProof/>
      <w:color w:val="000000"/>
      <w:szCs w:val="22"/>
    </w:rPr>
  </w:style>
  <w:style w:type="paragraph" w:customStyle="1" w:styleId="9">
    <w:name w:val="樣式9"/>
    <w:basedOn w:val="1"/>
    <w:qFormat/>
    <w:rsid w:val="007A3F5B"/>
    <w:rPr>
      <w:b/>
    </w:rPr>
  </w:style>
  <w:style w:type="paragraph" w:styleId="a3">
    <w:name w:val="List Paragraph"/>
    <w:basedOn w:val="a"/>
    <w:uiPriority w:val="34"/>
    <w:qFormat/>
    <w:rsid w:val="007A3F5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5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表1"/>
    <w:basedOn w:val="a3"/>
    <w:qFormat/>
    <w:rsid w:val="007A3F5B"/>
    <w:pPr>
      <w:numPr>
        <w:ilvl w:val="1"/>
        <w:numId w:val="1"/>
      </w:numPr>
      <w:tabs>
        <w:tab w:val="num" w:pos="360"/>
      </w:tabs>
      <w:snapToGrid w:val="0"/>
      <w:spacing w:line="440" w:lineRule="exact"/>
      <w:ind w:leftChars="0" w:left="960" w:firstLine="0"/>
      <w:jc w:val="center"/>
    </w:pPr>
    <w:rPr>
      <w:rFonts w:ascii="Calibri" w:eastAsia="標楷體" w:hAnsi="Calibri"/>
      <w:noProof/>
      <w:color w:val="000000"/>
      <w:szCs w:val="22"/>
    </w:rPr>
  </w:style>
  <w:style w:type="paragraph" w:customStyle="1" w:styleId="9">
    <w:name w:val="樣式9"/>
    <w:basedOn w:val="1"/>
    <w:qFormat/>
    <w:rsid w:val="007A3F5B"/>
    <w:rPr>
      <w:b/>
    </w:rPr>
  </w:style>
  <w:style w:type="paragraph" w:styleId="a3">
    <w:name w:val="List Paragraph"/>
    <w:basedOn w:val="a"/>
    <w:uiPriority w:val="34"/>
    <w:qFormat/>
    <w:rsid w:val="007A3F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hyperlink" Target="javascript:void(0);" TargetMode="External"/><Relationship Id="rId3" Type="http://schemas.microsoft.com/office/2007/relationships/stylesWithEffects" Target="stylesWithEffects.xml"/><Relationship Id="rId7" Type="http://schemas.openxmlformats.org/officeDocument/2006/relationships/hyperlink" Target="javascript:void(0);" TargetMode="External"/><Relationship Id="rId12" Type="http://schemas.openxmlformats.org/officeDocument/2006/relationships/hyperlink" Target="javascript:void(0);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javascript:void(0);" TargetMode="External"/><Relationship Id="rId11" Type="http://schemas.openxmlformats.org/officeDocument/2006/relationships/hyperlink" Target="javascript:void(0)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void(0);" TargetMode="External"/><Relationship Id="rId10" Type="http://schemas.openxmlformats.org/officeDocument/2006/relationships/hyperlink" Target="javascript:void(0);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0);" TargetMode="External"/><Relationship Id="rId14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485</Words>
  <Characters>2765</Characters>
  <Application>Microsoft Office Word</Application>
  <DocSecurity>0</DocSecurity>
  <Lines>23</Lines>
  <Paragraphs>6</Paragraphs>
  <ScaleCrop>false</ScaleCrop>
  <Company>Sky123.Org</Company>
  <LinksUpToDate>false</LinksUpToDate>
  <CharactersWithSpaces>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2015-06-18T02:36:00Z</dcterms:created>
  <dcterms:modified xsi:type="dcterms:W3CDTF">2015-06-18T02:36:00Z</dcterms:modified>
</cp:coreProperties>
</file>